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left w:w="0" w:type="dxa"/>
          <w:right w:w="0" w:type="dxa"/>
        </w:tblCellMar>
        <w:tblLook w:val="01E0" w:firstRow="1" w:lastRow="1" w:firstColumn="1" w:lastColumn="1" w:noHBand="0" w:noVBand="0"/>
      </w:tblPr>
      <w:tblGrid>
        <w:gridCol w:w="6804"/>
        <w:gridCol w:w="2268"/>
      </w:tblGrid>
      <w:tr w:rsidR="00B13D6F" w:rsidRPr="00941D7C" w14:paraId="70BD0AC0" w14:textId="77777777" w:rsidTr="008B5AB4">
        <w:trPr>
          <w:trHeight w:hRule="exact" w:val="1418"/>
        </w:trPr>
        <w:tc>
          <w:tcPr>
            <w:tcW w:w="6804" w:type="dxa"/>
            <w:shd w:val="clear" w:color="auto" w:fill="auto"/>
            <w:vAlign w:val="center"/>
          </w:tcPr>
          <w:p w14:paraId="0B7AE136" w14:textId="77777777" w:rsidR="00B13D6F" w:rsidRPr="00941D7C" w:rsidRDefault="00182896" w:rsidP="008B5AB4">
            <w:pPr>
              <w:pStyle w:val="EPName"/>
            </w:pPr>
            <w:bookmarkStart w:id="0" w:name="iStart"/>
            <w:bookmarkEnd w:id="0"/>
            <w:r w:rsidRPr="00941D7C">
              <w:t>European Parliament</w:t>
            </w:r>
          </w:p>
          <w:p w14:paraId="041E8E3E" w14:textId="77777777" w:rsidR="00B13D6F" w:rsidRPr="00941D7C" w:rsidRDefault="000220B7" w:rsidP="000220B7">
            <w:pPr>
              <w:pStyle w:val="EPTerm"/>
            </w:pPr>
            <w:r w:rsidRPr="00941D7C">
              <w:t>2024-2029</w:t>
            </w:r>
          </w:p>
        </w:tc>
        <w:tc>
          <w:tcPr>
            <w:tcW w:w="2268" w:type="dxa"/>
            <w:shd w:val="clear" w:color="auto" w:fill="auto"/>
          </w:tcPr>
          <w:p w14:paraId="234387CA" w14:textId="77777777" w:rsidR="00B13D6F" w:rsidRPr="00941D7C" w:rsidRDefault="00B13D6F" w:rsidP="008B5AB4">
            <w:pPr>
              <w:pStyle w:val="EPLogo"/>
            </w:pPr>
            <w:r w:rsidRPr="00941D7C">
              <w:rPr>
                <w:noProof/>
              </w:rPr>
              <w:drawing>
                <wp:inline distT="0" distB="0" distL="0" distR="0" wp14:anchorId="39642A31" wp14:editId="52B360C2">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1F5254B3" w14:textId="77777777" w:rsidR="00461601" w:rsidRPr="00941D7C" w:rsidRDefault="00461601" w:rsidP="00461601">
      <w:pPr>
        <w:pStyle w:val="LineTop"/>
      </w:pPr>
    </w:p>
    <w:p w14:paraId="34880EB3" w14:textId="77777777" w:rsidR="00461601" w:rsidRPr="00941D7C" w:rsidRDefault="00461601" w:rsidP="00461601">
      <w:pPr>
        <w:pStyle w:val="EPBody"/>
      </w:pPr>
      <w:r w:rsidRPr="00941D7C">
        <w:rPr>
          <w:rStyle w:val="HideTWBExt"/>
        </w:rPr>
        <w:t>&lt;</w:t>
      </w:r>
      <w:r w:rsidRPr="00941D7C">
        <w:rPr>
          <w:rStyle w:val="HideTWBExt"/>
          <w:i w:val="0"/>
        </w:rPr>
        <w:t>Commission</w:t>
      </w:r>
      <w:r w:rsidRPr="00941D7C">
        <w:rPr>
          <w:rStyle w:val="HideTWBExt"/>
        </w:rPr>
        <w:t>&gt;</w:t>
      </w:r>
      <w:r w:rsidR="000220B7" w:rsidRPr="00941D7C">
        <w:rPr>
          <w:rStyle w:val="HideTWBInt"/>
        </w:rPr>
        <w:t>{JURI}</w:t>
      </w:r>
      <w:r w:rsidR="000220B7" w:rsidRPr="00941D7C">
        <w:t>Committee on Legal Affairs</w:t>
      </w:r>
      <w:r w:rsidRPr="00941D7C">
        <w:rPr>
          <w:rStyle w:val="HideTWBExt"/>
        </w:rPr>
        <w:t>&lt;/</w:t>
      </w:r>
      <w:r w:rsidRPr="00941D7C">
        <w:rPr>
          <w:rStyle w:val="HideTWBExt"/>
          <w:i w:val="0"/>
        </w:rPr>
        <w:t>Commission</w:t>
      </w:r>
      <w:r w:rsidRPr="00941D7C">
        <w:rPr>
          <w:rStyle w:val="HideTWBExt"/>
        </w:rPr>
        <w:t>&gt;</w:t>
      </w:r>
    </w:p>
    <w:p w14:paraId="62A8C14B" w14:textId="77777777" w:rsidR="00461601" w:rsidRPr="00941D7C" w:rsidRDefault="00461601" w:rsidP="00461601">
      <w:pPr>
        <w:pStyle w:val="LineBottom"/>
      </w:pPr>
    </w:p>
    <w:p w14:paraId="7F0C3308" w14:textId="77777777" w:rsidR="00793EA9" w:rsidRPr="00941D7C" w:rsidRDefault="00793EA9">
      <w:pPr>
        <w:pStyle w:val="CoverReference"/>
      </w:pPr>
      <w:r w:rsidRPr="00941D7C">
        <w:rPr>
          <w:rStyle w:val="HideTWBExt"/>
          <w:b w:val="0"/>
        </w:rPr>
        <w:t>&lt;RefProc&gt;</w:t>
      </w:r>
      <w:r w:rsidR="000220B7" w:rsidRPr="00941D7C">
        <w:t>2025/0045</w:t>
      </w:r>
      <w:r w:rsidRPr="00941D7C">
        <w:rPr>
          <w:rStyle w:val="HideTWBExt"/>
          <w:b w:val="0"/>
        </w:rPr>
        <w:t>&lt;/RefProc&gt;&lt;RefTypeProc&gt;</w:t>
      </w:r>
      <w:r w:rsidRPr="00941D7C">
        <w:t>(COD)</w:t>
      </w:r>
      <w:r w:rsidRPr="00941D7C">
        <w:rPr>
          <w:rStyle w:val="HideTWBExt"/>
          <w:b w:val="0"/>
        </w:rPr>
        <w:t>&lt;/RefTypeProc&gt;</w:t>
      </w:r>
    </w:p>
    <w:p w14:paraId="120EC37A" w14:textId="77777777" w:rsidR="00793EA9" w:rsidRPr="00941D7C" w:rsidRDefault="00793EA9">
      <w:pPr>
        <w:pStyle w:val="CoverDate"/>
      </w:pPr>
      <w:r w:rsidRPr="00941D7C">
        <w:rPr>
          <w:rStyle w:val="HideTWBExt"/>
        </w:rPr>
        <w:t>&lt;Date&gt;</w:t>
      </w:r>
      <w:r w:rsidR="000220B7" w:rsidRPr="00941D7C">
        <w:rPr>
          <w:rStyle w:val="HideTWBInt"/>
        </w:rPr>
        <w:t>{</w:t>
      </w:r>
      <w:r w:rsidR="00CD69A0" w:rsidRPr="00941D7C">
        <w:rPr>
          <w:rStyle w:val="HideTWBInt"/>
        </w:rPr>
        <w:t>06</w:t>
      </w:r>
      <w:r w:rsidR="000220B7" w:rsidRPr="00941D7C">
        <w:rPr>
          <w:rStyle w:val="HideTWBInt"/>
        </w:rPr>
        <w:t>/0</w:t>
      </w:r>
      <w:r w:rsidR="00CD69A0" w:rsidRPr="00941D7C">
        <w:rPr>
          <w:rStyle w:val="HideTWBInt"/>
        </w:rPr>
        <w:t>6</w:t>
      </w:r>
      <w:r w:rsidR="000220B7" w:rsidRPr="00941D7C">
        <w:rPr>
          <w:rStyle w:val="HideTWBInt"/>
        </w:rPr>
        <w:t>/2025}</w:t>
      </w:r>
      <w:r w:rsidR="000220B7" w:rsidRPr="00941D7C">
        <w:t>26.5.2025</w:t>
      </w:r>
      <w:r w:rsidRPr="00941D7C">
        <w:rPr>
          <w:rStyle w:val="HideTWBExt"/>
        </w:rPr>
        <w:t>&lt;/Date&gt;</w:t>
      </w:r>
    </w:p>
    <w:p w14:paraId="5B6DE5AD" w14:textId="77777777" w:rsidR="00793EA9" w:rsidRPr="00941D7C" w:rsidRDefault="00793EA9">
      <w:pPr>
        <w:pStyle w:val="CoverDocType"/>
      </w:pPr>
      <w:r w:rsidRPr="00941D7C">
        <w:rPr>
          <w:rStyle w:val="HideTWBExt"/>
          <w:b w:val="0"/>
        </w:rPr>
        <w:t>&lt;RefProcLect&gt;</w:t>
      </w:r>
      <w:r w:rsidRPr="00941D7C">
        <w:t>***I</w:t>
      </w:r>
      <w:r w:rsidRPr="00941D7C">
        <w:rPr>
          <w:rStyle w:val="HideTWBExt"/>
          <w:b w:val="0"/>
        </w:rPr>
        <w:t>&lt;/RefProcLect&gt;</w:t>
      </w:r>
    </w:p>
    <w:p w14:paraId="22110D31" w14:textId="77777777" w:rsidR="00793EA9" w:rsidRPr="00941D7C" w:rsidRDefault="00793EA9">
      <w:pPr>
        <w:pStyle w:val="CoverDocType24a"/>
      </w:pPr>
      <w:r w:rsidRPr="00941D7C">
        <w:rPr>
          <w:rStyle w:val="HideTWBExt"/>
          <w:b w:val="0"/>
        </w:rPr>
        <w:t>&lt;TitreType&gt;</w:t>
      </w:r>
      <w:r w:rsidR="00182896" w:rsidRPr="00941D7C">
        <w:t>DRAFT REPORT</w:t>
      </w:r>
      <w:r w:rsidRPr="00941D7C">
        <w:rPr>
          <w:rStyle w:val="HideTWBExt"/>
          <w:b w:val="0"/>
        </w:rPr>
        <w:t>&lt;/TitreType&gt;</w:t>
      </w:r>
    </w:p>
    <w:p w14:paraId="0333E77F" w14:textId="77777777" w:rsidR="00793EA9" w:rsidRPr="00941D7C" w:rsidRDefault="00793EA9">
      <w:pPr>
        <w:pStyle w:val="CoverNormal"/>
      </w:pPr>
      <w:r w:rsidRPr="00941D7C">
        <w:rPr>
          <w:rStyle w:val="HideTWBExt"/>
        </w:rPr>
        <w:t>&lt;Titre&gt;</w:t>
      </w:r>
      <w:r w:rsidR="00F471AB" w:rsidRPr="00941D7C">
        <w:t>on the proposal for a directive of the European Parliament and of the Council amending Directives 2006/43/EC, 2013/34/EU, (EU) 2022/2464 and (EU) 2024/1760 as regards certain corporate sustainability reporting and due diligence requirements</w:t>
      </w:r>
      <w:r w:rsidRPr="00941D7C">
        <w:rPr>
          <w:rStyle w:val="HideTWBExt"/>
        </w:rPr>
        <w:t>&lt;/Titre&gt;</w:t>
      </w:r>
    </w:p>
    <w:p w14:paraId="7944ACAE" w14:textId="77777777" w:rsidR="00793EA9" w:rsidRPr="00941D7C" w:rsidRDefault="00793EA9">
      <w:pPr>
        <w:pStyle w:val="CoverNormal24a"/>
      </w:pPr>
      <w:r w:rsidRPr="00941D7C">
        <w:rPr>
          <w:rStyle w:val="HideTWBExt"/>
        </w:rPr>
        <w:t>&lt;DocRef&gt;</w:t>
      </w:r>
      <w:r w:rsidR="00182896" w:rsidRPr="00941D7C">
        <w:t>(</w:t>
      </w:r>
      <w:proofErr w:type="gramStart"/>
      <w:r w:rsidR="00182896" w:rsidRPr="00941D7C">
        <w:t>COM</w:t>
      </w:r>
      <w:r w:rsidR="000220B7" w:rsidRPr="00941D7C">
        <w:t>(</w:t>
      </w:r>
      <w:proofErr w:type="gramEnd"/>
      <w:r w:rsidR="000220B7" w:rsidRPr="00941D7C">
        <w:t>2025)0081</w:t>
      </w:r>
      <w:r w:rsidR="00182896" w:rsidRPr="00941D7C">
        <w:t xml:space="preserve"> </w:t>
      </w:r>
      <w:r w:rsidR="000220B7" w:rsidRPr="00941D7C">
        <w:t>–</w:t>
      </w:r>
      <w:r w:rsidR="00182896" w:rsidRPr="00941D7C">
        <w:t xml:space="preserve"> </w:t>
      </w:r>
      <w:r w:rsidR="000220B7" w:rsidRPr="00941D7C">
        <w:t>C10</w:t>
      </w:r>
      <w:r w:rsidR="000220B7" w:rsidRPr="00941D7C">
        <w:noBreakHyphen/>
        <w:t>0037/2025</w:t>
      </w:r>
      <w:r w:rsidR="00182896" w:rsidRPr="00941D7C">
        <w:t xml:space="preserve"> </w:t>
      </w:r>
      <w:r w:rsidR="000220B7" w:rsidRPr="00941D7C">
        <w:t>–</w:t>
      </w:r>
      <w:r w:rsidR="00182896" w:rsidRPr="00941D7C">
        <w:t xml:space="preserve"> </w:t>
      </w:r>
      <w:r w:rsidR="000220B7" w:rsidRPr="00941D7C">
        <w:t>2025/0045</w:t>
      </w:r>
      <w:r w:rsidR="00182896" w:rsidRPr="00941D7C">
        <w:t>(COD))</w:t>
      </w:r>
      <w:r w:rsidRPr="00941D7C">
        <w:rPr>
          <w:rStyle w:val="HideTWBExt"/>
        </w:rPr>
        <w:t>&lt;/DocRef&gt;</w:t>
      </w:r>
    </w:p>
    <w:p w14:paraId="5AA17C3C" w14:textId="77777777" w:rsidR="00793EA9" w:rsidRPr="00941D7C" w:rsidRDefault="00793EA9">
      <w:pPr>
        <w:pStyle w:val="CoverNormal24a"/>
      </w:pPr>
      <w:r w:rsidRPr="00941D7C">
        <w:rPr>
          <w:rStyle w:val="HideTWBExt"/>
        </w:rPr>
        <w:t>&lt;Commission&gt;</w:t>
      </w:r>
      <w:r w:rsidR="000220B7" w:rsidRPr="00941D7C">
        <w:rPr>
          <w:rStyle w:val="HideTWBInt"/>
        </w:rPr>
        <w:t>{JURI}</w:t>
      </w:r>
      <w:r w:rsidR="000220B7" w:rsidRPr="00941D7C">
        <w:t>Committee on Legal Affairs</w:t>
      </w:r>
      <w:r w:rsidRPr="00941D7C">
        <w:rPr>
          <w:rStyle w:val="HideTWBExt"/>
        </w:rPr>
        <w:t>&lt;/Commission&gt;</w:t>
      </w:r>
    </w:p>
    <w:p w14:paraId="0027DF4B" w14:textId="77777777" w:rsidR="00793EA9" w:rsidRPr="008C7353" w:rsidRDefault="00182896">
      <w:pPr>
        <w:pStyle w:val="CoverNormal24a"/>
        <w:rPr>
          <w:lang w:val="fr-FR"/>
        </w:rPr>
      </w:pPr>
      <w:proofErr w:type="gramStart"/>
      <w:r w:rsidRPr="008C7353">
        <w:rPr>
          <w:lang w:val="fr-FR"/>
        </w:rPr>
        <w:t>Rapporteur:</w:t>
      </w:r>
      <w:proofErr w:type="gramEnd"/>
      <w:r w:rsidR="00793EA9" w:rsidRPr="008C7353">
        <w:rPr>
          <w:lang w:val="fr-FR"/>
        </w:rPr>
        <w:t xml:space="preserve"> </w:t>
      </w:r>
      <w:r w:rsidR="00793EA9" w:rsidRPr="008C7353">
        <w:rPr>
          <w:rStyle w:val="HideTWBExt"/>
          <w:lang w:val="fr-FR"/>
        </w:rPr>
        <w:t>&lt;Depute&gt;</w:t>
      </w:r>
      <w:r w:rsidR="000220B7" w:rsidRPr="008C7353">
        <w:rPr>
          <w:lang w:val="fr-FR"/>
        </w:rPr>
        <w:t>Jörgen Warborn</w:t>
      </w:r>
      <w:r w:rsidR="00793EA9" w:rsidRPr="008C7353">
        <w:rPr>
          <w:rStyle w:val="HideTWBExt"/>
          <w:lang w:val="fr-FR"/>
        </w:rPr>
        <w:t>&lt;/Depute&gt;</w:t>
      </w:r>
    </w:p>
    <w:p w14:paraId="14ADFD64" w14:textId="77777777" w:rsidR="001C5B44" w:rsidRPr="008C7353" w:rsidRDefault="001C5B44" w:rsidP="001C5B44">
      <w:pPr>
        <w:pStyle w:val="CoverNormal"/>
        <w:rPr>
          <w:lang w:val="fr-FR"/>
        </w:rPr>
      </w:pPr>
    </w:p>
    <w:p w14:paraId="71DEA132" w14:textId="38A1DB96" w:rsidR="000220B7" w:rsidRPr="008C7353" w:rsidRDefault="00793EA9" w:rsidP="008B5AB4">
      <w:pPr>
        <w:rPr>
          <w:lang w:val="fr-FR"/>
        </w:rPr>
      </w:pPr>
      <w:r w:rsidRPr="008C7353">
        <w:rPr>
          <w:lang w:val="fr-FR"/>
        </w:rPr>
        <w:br w:type="page"/>
      </w:r>
      <w:r w:rsidR="00941D7C">
        <w:fldChar w:fldCharType="begin"/>
      </w:r>
      <w:r w:rsidR="00941D7C" w:rsidRPr="008C7353">
        <w:rPr>
          <w:lang w:val="fr-FR"/>
        </w:rPr>
        <w:instrText xml:space="preserve"> TITLE  \* MERGEFORMAT </w:instrText>
      </w:r>
      <w:r w:rsidR="00941D7C">
        <w:fldChar w:fldCharType="separate"/>
      </w:r>
      <w:r w:rsidR="00941D7C" w:rsidRPr="008C7353">
        <w:rPr>
          <w:lang w:val="fr-FR"/>
        </w:rPr>
        <w:t>PR_COD_1amCom</w:t>
      </w:r>
      <w:r w:rsidR="00941D7C">
        <w:fldChar w:fldCharType="end"/>
      </w:r>
    </w:p>
    <w:p w14:paraId="04DAE865" w14:textId="77777777" w:rsidR="000220B7" w:rsidRPr="008C7353" w:rsidRDefault="000220B7" w:rsidP="008B5AB4">
      <w:pPr>
        <w:rPr>
          <w:lang w:val="fr-FR"/>
        </w:rPr>
      </w:pPr>
    </w:p>
    <w:p w14:paraId="5D121FAA" w14:textId="77777777" w:rsidR="000220B7" w:rsidRPr="008C7353" w:rsidRDefault="000220B7" w:rsidP="008B5AB4">
      <w:pPr>
        <w:rPr>
          <w:lang w:val="fr-FR"/>
        </w:rPr>
      </w:pPr>
    </w:p>
    <w:tbl>
      <w:tblPr>
        <w:tblW w:w="0" w:type="auto"/>
        <w:tblInd w:w="16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811"/>
      </w:tblGrid>
      <w:tr w:rsidR="000220B7" w:rsidRPr="00941D7C" w14:paraId="3FE94173" w14:textId="77777777">
        <w:tc>
          <w:tcPr>
            <w:tcW w:w="5811" w:type="dxa"/>
          </w:tcPr>
          <w:p w14:paraId="1B55A6B5" w14:textId="77777777" w:rsidR="000220B7" w:rsidRPr="00941D7C" w:rsidRDefault="000220B7" w:rsidP="008B5AB4">
            <w:pPr>
              <w:pStyle w:val="Lgendetitre"/>
            </w:pPr>
            <w:r w:rsidRPr="00941D7C">
              <w:t>Symbols for procedures</w:t>
            </w:r>
          </w:p>
        </w:tc>
      </w:tr>
      <w:tr w:rsidR="000220B7" w:rsidRPr="00941D7C" w14:paraId="01BDCB12" w14:textId="77777777" w:rsidTr="008B5AB4">
        <w:trPr>
          <w:cantSplit/>
          <w:trHeight w:val="1807"/>
        </w:trPr>
        <w:tc>
          <w:tcPr>
            <w:tcW w:w="5811" w:type="dxa"/>
            <w:tcBorders>
              <w:bottom w:val="single" w:sz="4" w:space="0" w:color="auto"/>
            </w:tcBorders>
          </w:tcPr>
          <w:p w14:paraId="7280AE7E" w14:textId="77777777" w:rsidR="000220B7" w:rsidRPr="00941D7C" w:rsidRDefault="000220B7" w:rsidP="008B5AB4">
            <w:pPr>
              <w:pStyle w:val="Lgendesigne"/>
            </w:pPr>
            <w:r w:rsidRPr="00941D7C">
              <w:tab/>
              <w:t>*</w:t>
            </w:r>
            <w:r w:rsidRPr="00941D7C">
              <w:tab/>
              <w:t>Consultation procedure</w:t>
            </w:r>
          </w:p>
          <w:p w14:paraId="4DB3102F" w14:textId="77777777" w:rsidR="000220B7" w:rsidRPr="00941D7C" w:rsidRDefault="000220B7" w:rsidP="008B5AB4">
            <w:pPr>
              <w:pStyle w:val="Lgendesigne"/>
            </w:pPr>
            <w:r w:rsidRPr="00941D7C">
              <w:tab/>
              <w:t>***</w:t>
            </w:r>
            <w:r w:rsidRPr="00941D7C">
              <w:tab/>
              <w:t>Consent procedure</w:t>
            </w:r>
          </w:p>
          <w:p w14:paraId="6980B104" w14:textId="77777777" w:rsidR="000220B7" w:rsidRPr="00941D7C" w:rsidRDefault="000220B7" w:rsidP="008B5AB4">
            <w:pPr>
              <w:pStyle w:val="Lgendesigne"/>
            </w:pPr>
            <w:r w:rsidRPr="00941D7C">
              <w:tab/>
              <w:t>***I</w:t>
            </w:r>
            <w:r w:rsidRPr="00941D7C">
              <w:tab/>
              <w:t>Ordinary legislative procedure (first reading)</w:t>
            </w:r>
          </w:p>
          <w:p w14:paraId="0913CD69" w14:textId="77777777" w:rsidR="000220B7" w:rsidRPr="00941D7C" w:rsidRDefault="000220B7" w:rsidP="008B5AB4">
            <w:pPr>
              <w:pStyle w:val="Lgendesigne"/>
            </w:pPr>
            <w:r w:rsidRPr="00941D7C">
              <w:tab/>
              <w:t>***II</w:t>
            </w:r>
            <w:r w:rsidRPr="00941D7C">
              <w:tab/>
              <w:t>Ordinary legislative procedure (second reading)</w:t>
            </w:r>
          </w:p>
          <w:p w14:paraId="57BBD849" w14:textId="77777777" w:rsidR="000220B7" w:rsidRPr="00941D7C" w:rsidRDefault="000220B7" w:rsidP="008B5AB4">
            <w:pPr>
              <w:pStyle w:val="Lgendesigne"/>
            </w:pPr>
            <w:r w:rsidRPr="00941D7C">
              <w:tab/>
              <w:t>***III</w:t>
            </w:r>
            <w:r w:rsidRPr="00941D7C">
              <w:tab/>
              <w:t>Ordinary legislative procedure (third reading)</w:t>
            </w:r>
          </w:p>
          <w:p w14:paraId="5C6549A0" w14:textId="77777777" w:rsidR="000220B7" w:rsidRPr="00941D7C" w:rsidRDefault="000220B7" w:rsidP="008B5AB4">
            <w:pPr>
              <w:pStyle w:val="Lgendestandard"/>
            </w:pPr>
          </w:p>
          <w:p w14:paraId="34C6688D" w14:textId="77777777" w:rsidR="000220B7" w:rsidRPr="00941D7C" w:rsidRDefault="000220B7" w:rsidP="008B5AB4">
            <w:pPr>
              <w:pStyle w:val="Lgendestandard"/>
            </w:pPr>
            <w:r w:rsidRPr="00941D7C">
              <w:t>(The type of procedure depends on the legal basis proposed by the draft act.)</w:t>
            </w:r>
          </w:p>
          <w:p w14:paraId="3AA5B281" w14:textId="77777777" w:rsidR="000220B7" w:rsidRPr="00941D7C" w:rsidRDefault="000220B7" w:rsidP="008B5AB4">
            <w:pPr>
              <w:pStyle w:val="Lgendestandard"/>
            </w:pPr>
          </w:p>
        </w:tc>
      </w:tr>
    </w:tbl>
    <w:p w14:paraId="69241A99" w14:textId="77777777" w:rsidR="000220B7" w:rsidRPr="00941D7C" w:rsidRDefault="000220B7" w:rsidP="008B5AB4"/>
    <w:p w14:paraId="291D4E1B" w14:textId="77777777" w:rsidR="000220B7" w:rsidRPr="00941D7C" w:rsidRDefault="000220B7" w:rsidP="008B5AB4"/>
    <w:p w14:paraId="644A2937" w14:textId="77777777" w:rsidR="000220B7" w:rsidRPr="00941D7C" w:rsidRDefault="000220B7" w:rsidP="008B5AB4"/>
    <w:p w14:paraId="0C1C00CB" w14:textId="77777777" w:rsidR="000220B7" w:rsidRPr="00941D7C" w:rsidRDefault="000220B7" w:rsidP="008B5AB4"/>
    <w:tbl>
      <w:tblPr>
        <w:tblW w:w="0" w:type="auto"/>
        <w:tblInd w:w="1668" w:type="dxa"/>
        <w:tblBorders>
          <w:top w:val="single" w:sz="4" w:space="0" w:color="auto"/>
          <w:left w:val="single" w:sz="4" w:space="0" w:color="auto"/>
          <w:bottom w:val="single" w:sz="4" w:space="0" w:color="auto"/>
          <w:right w:val="single" w:sz="4" w:space="0" w:color="auto"/>
          <w:insideV w:val="single" w:sz="6" w:space="0" w:color="auto"/>
        </w:tblBorders>
        <w:tblLayout w:type="fixed"/>
        <w:tblLook w:val="0000" w:firstRow="0" w:lastRow="0" w:firstColumn="0" w:lastColumn="0" w:noHBand="0" w:noVBand="0"/>
      </w:tblPr>
      <w:tblGrid>
        <w:gridCol w:w="5811"/>
      </w:tblGrid>
      <w:tr w:rsidR="000220B7" w:rsidRPr="00941D7C" w14:paraId="10B703F7" w14:textId="77777777">
        <w:tc>
          <w:tcPr>
            <w:tcW w:w="5811" w:type="dxa"/>
          </w:tcPr>
          <w:p w14:paraId="29572F1C" w14:textId="77777777" w:rsidR="000220B7" w:rsidRPr="00941D7C" w:rsidRDefault="000220B7" w:rsidP="008B5AB4">
            <w:pPr>
              <w:pStyle w:val="Lgendetitre"/>
            </w:pPr>
            <w:r w:rsidRPr="00941D7C">
              <w:t>Amendments to a draft act</w:t>
            </w:r>
          </w:p>
        </w:tc>
      </w:tr>
      <w:tr w:rsidR="000220B7" w:rsidRPr="00941D7C" w14:paraId="018CB0EA" w14:textId="77777777" w:rsidTr="008B5AB4">
        <w:trPr>
          <w:trHeight w:val="4496"/>
        </w:trPr>
        <w:tc>
          <w:tcPr>
            <w:tcW w:w="5811" w:type="dxa"/>
          </w:tcPr>
          <w:p w14:paraId="581FD672" w14:textId="77777777" w:rsidR="000220B7" w:rsidRPr="00941D7C" w:rsidRDefault="000220B7" w:rsidP="008B5AB4">
            <w:pPr>
              <w:pStyle w:val="Lgendestandard"/>
              <w:rPr>
                <w:szCs w:val="24"/>
              </w:rPr>
            </w:pPr>
            <w:r w:rsidRPr="00941D7C">
              <w:rPr>
                <w:b/>
                <w:szCs w:val="24"/>
              </w:rPr>
              <w:t>Amendments by Parliament set out in two columns</w:t>
            </w:r>
          </w:p>
          <w:p w14:paraId="5872CAB3" w14:textId="77777777" w:rsidR="000220B7" w:rsidRPr="00941D7C" w:rsidRDefault="000220B7" w:rsidP="008B5AB4">
            <w:pPr>
              <w:pStyle w:val="Lgendestandard"/>
              <w:rPr>
                <w:szCs w:val="24"/>
              </w:rPr>
            </w:pPr>
          </w:p>
          <w:p w14:paraId="46D71576" w14:textId="77777777" w:rsidR="000220B7" w:rsidRPr="00941D7C" w:rsidRDefault="000220B7" w:rsidP="008B5AB4">
            <w:pPr>
              <w:pStyle w:val="Lgendestandard"/>
              <w:rPr>
                <w:szCs w:val="24"/>
              </w:rPr>
            </w:pPr>
            <w:r w:rsidRPr="00941D7C">
              <w:rPr>
                <w:szCs w:val="24"/>
              </w:rPr>
              <w:t xml:space="preserve">Deletions are indicated in </w:t>
            </w:r>
            <w:r w:rsidRPr="00941D7C">
              <w:rPr>
                <w:b/>
                <w:i/>
                <w:szCs w:val="24"/>
              </w:rPr>
              <w:t>bold italics</w:t>
            </w:r>
            <w:r w:rsidRPr="00941D7C">
              <w:rPr>
                <w:szCs w:val="24"/>
              </w:rPr>
              <w:t xml:space="preserve"> in the left-hand column. Replacements are indicated in </w:t>
            </w:r>
            <w:r w:rsidRPr="00941D7C">
              <w:rPr>
                <w:b/>
                <w:i/>
                <w:szCs w:val="24"/>
              </w:rPr>
              <w:t>bold italics</w:t>
            </w:r>
            <w:r w:rsidRPr="00941D7C">
              <w:rPr>
                <w:szCs w:val="24"/>
              </w:rPr>
              <w:t xml:space="preserve"> in both columns. New text is indicated in </w:t>
            </w:r>
            <w:r w:rsidRPr="00941D7C">
              <w:rPr>
                <w:b/>
                <w:i/>
                <w:szCs w:val="24"/>
              </w:rPr>
              <w:t>bold italics</w:t>
            </w:r>
            <w:r w:rsidRPr="00941D7C">
              <w:rPr>
                <w:szCs w:val="24"/>
              </w:rPr>
              <w:t xml:space="preserve"> in the right-hand column.</w:t>
            </w:r>
          </w:p>
          <w:p w14:paraId="445F20F1" w14:textId="77777777" w:rsidR="000220B7" w:rsidRPr="00941D7C" w:rsidRDefault="000220B7" w:rsidP="008B5AB4">
            <w:pPr>
              <w:pStyle w:val="Lgendestandard"/>
              <w:rPr>
                <w:szCs w:val="24"/>
              </w:rPr>
            </w:pPr>
          </w:p>
          <w:p w14:paraId="107F858F" w14:textId="77777777" w:rsidR="000220B7" w:rsidRPr="00941D7C" w:rsidRDefault="000220B7" w:rsidP="008B5AB4">
            <w:pPr>
              <w:pStyle w:val="Lgendestandard"/>
              <w:rPr>
                <w:szCs w:val="24"/>
              </w:rPr>
            </w:pPr>
            <w:r w:rsidRPr="00941D7C">
              <w:rPr>
                <w:szCs w:val="24"/>
              </w:rPr>
              <w:t>The first and second lines of the header of each amendment identify the relevant part of the draft act under consideration. If an amendment pertains to an existing act that the draft act is seeking to amend, the amendment heading includes a third line identifying the existing act and a fourth line identifying the provision in that act that Parliament wishes to amend.</w:t>
            </w:r>
          </w:p>
          <w:p w14:paraId="073387C9" w14:textId="77777777" w:rsidR="000220B7" w:rsidRPr="00941D7C" w:rsidRDefault="000220B7" w:rsidP="008B5AB4">
            <w:pPr>
              <w:pStyle w:val="Lgendestandard"/>
              <w:rPr>
                <w:szCs w:val="24"/>
              </w:rPr>
            </w:pPr>
          </w:p>
          <w:p w14:paraId="5EECCC69" w14:textId="77777777" w:rsidR="000220B7" w:rsidRPr="00941D7C" w:rsidRDefault="000220B7" w:rsidP="008B5AB4">
            <w:pPr>
              <w:pStyle w:val="Lgendestandard"/>
              <w:rPr>
                <w:b/>
                <w:szCs w:val="24"/>
              </w:rPr>
            </w:pPr>
            <w:r w:rsidRPr="00941D7C">
              <w:rPr>
                <w:b/>
                <w:szCs w:val="24"/>
              </w:rPr>
              <w:t>Amendments by Parliament in the form of a consolidated text</w:t>
            </w:r>
          </w:p>
          <w:p w14:paraId="3D6AC04C" w14:textId="77777777" w:rsidR="000220B7" w:rsidRPr="00941D7C" w:rsidRDefault="000220B7" w:rsidP="008B5AB4">
            <w:pPr>
              <w:pStyle w:val="Lgendestandard"/>
              <w:rPr>
                <w:szCs w:val="24"/>
              </w:rPr>
            </w:pPr>
          </w:p>
          <w:p w14:paraId="435FE985" w14:textId="77777777" w:rsidR="000220B7" w:rsidRPr="00941D7C" w:rsidRDefault="000220B7" w:rsidP="008B5AB4">
            <w:pPr>
              <w:pStyle w:val="Lgendestandard"/>
              <w:rPr>
                <w:szCs w:val="24"/>
              </w:rPr>
            </w:pPr>
            <w:r w:rsidRPr="00941D7C">
              <w:rPr>
                <w:szCs w:val="24"/>
              </w:rPr>
              <w:t xml:space="preserve">New text is highlighted in </w:t>
            </w:r>
            <w:r w:rsidRPr="00941D7C">
              <w:rPr>
                <w:b/>
                <w:i/>
                <w:szCs w:val="24"/>
              </w:rPr>
              <w:t>bold italics</w:t>
            </w:r>
            <w:r w:rsidRPr="00941D7C">
              <w:rPr>
                <w:szCs w:val="24"/>
              </w:rPr>
              <w:t xml:space="preserve">. Deletions are indicated using either the ▌symbol or strikeout. Replacements are indicated by highlighting the new text in </w:t>
            </w:r>
            <w:r w:rsidRPr="00941D7C">
              <w:rPr>
                <w:b/>
                <w:i/>
                <w:szCs w:val="24"/>
              </w:rPr>
              <w:t>bold italics</w:t>
            </w:r>
            <w:r w:rsidRPr="00941D7C">
              <w:rPr>
                <w:szCs w:val="24"/>
              </w:rPr>
              <w:t xml:space="preserve"> and by deleting or striking out the text that has been replaced. </w:t>
            </w:r>
          </w:p>
          <w:p w14:paraId="518E58D9" w14:textId="77777777" w:rsidR="000220B7" w:rsidRPr="00941D7C" w:rsidRDefault="000220B7" w:rsidP="008B5AB4">
            <w:pPr>
              <w:pStyle w:val="Lgendestandard"/>
            </w:pPr>
            <w:r w:rsidRPr="00941D7C">
              <w:rPr>
                <w:szCs w:val="24"/>
              </w:rPr>
              <w:t>By way of exception, purely technical changes made by the drafting departments in preparing the final text are not highlighted.</w:t>
            </w:r>
          </w:p>
          <w:p w14:paraId="5CF36C40" w14:textId="77777777" w:rsidR="000220B7" w:rsidRPr="00941D7C" w:rsidRDefault="000220B7" w:rsidP="008B5AB4">
            <w:pPr>
              <w:pStyle w:val="Lgendestandard"/>
            </w:pPr>
          </w:p>
        </w:tc>
      </w:tr>
    </w:tbl>
    <w:p w14:paraId="0D6BB66F" w14:textId="77777777" w:rsidR="000220B7" w:rsidRPr="00941D7C" w:rsidRDefault="000220B7" w:rsidP="008B5AB4"/>
    <w:p w14:paraId="7842875B" w14:textId="77777777" w:rsidR="00793EA9" w:rsidRPr="00941D7C" w:rsidRDefault="00793EA9" w:rsidP="00012351">
      <w:pPr>
        <w:widowControl/>
        <w:tabs>
          <w:tab w:val="center" w:pos="4677"/>
        </w:tabs>
      </w:pPr>
    </w:p>
    <w:p w14:paraId="2B4F9AE5" w14:textId="77777777" w:rsidR="00793EA9" w:rsidRPr="00941D7C" w:rsidRDefault="00793EA9">
      <w:pPr>
        <w:pStyle w:val="Inhaltsverzeichnisberschrift"/>
      </w:pPr>
      <w:r w:rsidRPr="00941D7C">
        <w:br w:type="page"/>
      </w:r>
      <w:r w:rsidR="00182896" w:rsidRPr="00941D7C">
        <w:t>CONTENTS</w:t>
      </w:r>
    </w:p>
    <w:p w14:paraId="27F6038E" w14:textId="77777777" w:rsidR="00793EA9" w:rsidRPr="00941D7C" w:rsidRDefault="00182896">
      <w:pPr>
        <w:pStyle w:val="TOCPage"/>
      </w:pPr>
      <w:r w:rsidRPr="00941D7C">
        <w:t>Page</w:t>
      </w:r>
    </w:p>
    <w:p w14:paraId="2DAF7A9C" w14:textId="56E5CFC1" w:rsidR="00941D7C" w:rsidRDefault="00C23324">
      <w:pPr>
        <w:pStyle w:val="Verzeichnis1"/>
        <w:tabs>
          <w:tab w:val="right" w:leader="dot" w:pos="9060"/>
        </w:tabs>
        <w:rPr>
          <w:rFonts w:asciiTheme="minorHAnsi" w:eastAsiaTheme="minorEastAsia" w:hAnsiTheme="minorHAnsi" w:cstheme="minorBidi"/>
          <w:noProof/>
          <w:sz w:val="22"/>
          <w:szCs w:val="22"/>
        </w:rPr>
      </w:pPr>
      <w:r w:rsidRPr="00941D7C">
        <w:rPr>
          <w:b/>
        </w:rPr>
        <w:fldChar w:fldCharType="begin"/>
      </w:r>
      <w:r w:rsidRPr="00941D7C">
        <w:rPr>
          <w:b/>
        </w:rPr>
        <w:instrText xml:space="preserve"> TOC \t "PageHeading</w:instrText>
      </w:r>
      <w:r w:rsidR="006D12C5" w:rsidRPr="00941D7C">
        <w:rPr>
          <w:b/>
        </w:rPr>
        <w:instrText>;</w:instrText>
      </w:r>
      <w:r w:rsidRPr="00941D7C">
        <w:rPr>
          <w:b/>
        </w:rPr>
        <w:instrText xml:space="preserve">1" </w:instrText>
      </w:r>
      <w:r w:rsidRPr="00941D7C">
        <w:rPr>
          <w:b/>
        </w:rPr>
        <w:fldChar w:fldCharType="separate"/>
      </w:r>
      <w:r w:rsidR="00941D7C">
        <w:rPr>
          <w:noProof/>
        </w:rPr>
        <w:t>DRAFT EUROPEAN PARLIAMENT LEGISLATIVE RESOLUTION</w:t>
      </w:r>
      <w:r w:rsidR="00941D7C">
        <w:rPr>
          <w:noProof/>
        </w:rPr>
        <w:tab/>
      </w:r>
      <w:r w:rsidR="00941D7C">
        <w:rPr>
          <w:noProof/>
        </w:rPr>
        <w:fldChar w:fldCharType="begin"/>
      </w:r>
      <w:r w:rsidR="00941D7C">
        <w:rPr>
          <w:noProof/>
        </w:rPr>
        <w:instrText xml:space="preserve"> PAGEREF _Toc200615189 \h </w:instrText>
      </w:r>
      <w:r w:rsidR="00941D7C">
        <w:rPr>
          <w:noProof/>
        </w:rPr>
      </w:r>
      <w:r w:rsidR="00941D7C">
        <w:rPr>
          <w:noProof/>
        </w:rPr>
        <w:fldChar w:fldCharType="separate"/>
      </w:r>
      <w:r w:rsidR="00941D7C">
        <w:rPr>
          <w:noProof/>
        </w:rPr>
        <w:t>5</w:t>
      </w:r>
      <w:r w:rsidR="00941D7C">
        <w:rPr>
          <w:noProof/>
        </w:rPr>
        <w:fldChar w:fldCharType="end"/>
      </w:r>
    </w:p>
    <w:p w14:paraId="3FFF8DDC" w14:textId="01689F9E" w:rsidR="00941D7C" w:rsidRDefault="00941D7C">
      <w:pPr>
        <w:pStyle w:val="Verzeichnis1"/>
        <w:tabs>
          <w:tab w:val="right" w:leader="dot" w:pos="9060"/>
        </w:tabs>
        <w:rPr>
          <w:rFonts w:asciiTheme="minorHAnsi" w:eastAsiaTheme="minorEastAsia" w:hAnsiTheme="minorHAnsi" w:cstheme="minorBidi"/>
          <w:noProof/>
          <w:sz w:val="22"/>
          <w:szCs w:val="22"/>
        </w:rPr>
      </w:pPr>
      <w:r>
        <w:rPr>
          <w:noProof/>
        </w:rPr>
        <w:t>ANNEX: ENTITIES OR PERSONS FROM WHOM THE RAPPORTEUR HAS RECEIVED INPUT</w:t>
      </w:r>
      <w:r>
        <w:rPr>
          <w:noProof/>
        </w:rPr>
        <w:tab/>
      </w:r>
      <w:r>
        <w:rPr>
          <w:noProof/>
        </w:rPr>
        <w:fldChar w:fldCharType="begin"/>
      </w:r>
      <w:r>
        <w:rPr>
          <w:noProof/>
        </w:rPr>
        <w:instrText xml:space="preserve"> PAGEREF _Toc200615190 \h </w:instrText>
      </w:r>
      <w:r>
        <w:rPr>
          <w:noProof/>
        </w:rPr>
      </w:r>
      <w:r>
        <w:rPr>
          <w:noProof/>
        </w:rPr>
        <w:fldChar w:fldCharType="separate"/>
      </w:r>
      <w:r>
        <w:rPr>
          <w:noProof/>
        </w:rPr>
        <w:t>61</w:t>
      </w:r>
      <w:r>
        <w:rPr>
          <w:noProof/>
        </w:rPr>
        <w:fldChar w:fldCharType="end"/>
      </w:r>
    </w:p>
    <w:p w14:paraId="50E787D1" w14:textId="58617417" w:rsidR="002346B0" w:rsidRPr="00941D7C" w:rsidRDefault="00C23324" w:rsidP="00C23324">
      <w:r w:rsidRPr="00941D7C">
        <w:rPr>
          <w:b/>
        </w:rPr>
        <w:fldChar w:fldCharType="end"/>
      </w:r>
    </w:p>
    <w:p w14:paraId="5D5230C5" w14:textId="77777777" w:rsidR="00CD69A0" w:rsidRPr="00941D7C" w:rsidRDefault="00793EA9" w:rsidP="00CD69A0">
      <w:pPr>
        <w:pStyle w:val="PageHeading"/>
      </w:pPr>
      <w:r w:rsidRPr="00941D7C">
        <w:br w:type="page"/>
      </w:r>
      <w:r w:rsidRPr="00941D7C">
        <w:br w:type="page"/>
      </w:r>
      <w:bookmarkStart w:id="1" w:name="_Toc200615189"/>
      <w:r w:rsidR="00CD69A0" w:rsidRPr="00941D7C">
        <w:t>DRAFT EUROPEAN PARLIAMENT LEGISLATIVE RESOLUTION</w:t>
      </w:r>
      <w:bookmarkEnd w:id="1"/>
    </w:p>
    <w:p w14:paraId="3525D939" w14:textId="77777777" w:rsidR="00CD69A0" w:rsidRPr="00941D7C" w:rsidRDefault="00CD69A0" w:rsidP="00CD69A0">
      <w:pPr>
        <w:pStyle w:val="NormalBold"/>
      </w:pPr>
      <w:r w:rsidRPr="00941D7C">
        <w:t>on the proposal for a directive of the European Parliament and of the Council amending Directives 2006/43/EC, 2013/34/EU, (EU) 2022/2464 and (EU) 2024/1760 as regards certain corporate sustainability reporting and due diligence requirements</w:t>
      </w:r>
    </w:p>
    <w:p w14:paraId="080B2984" w14:textId="77777777" w:rsidR="00CD69A0" w:rsidRPr="00941D7C" w:rsidRDefault="00CD69A0" w:rsidP="00CD69A0">
      <w:pPr>
        <w:pStyle w:val="NormalBold12a"/>
      </w:pPr>
      <w:r w:rsidRPr="00941D7C">
        <w:t>(</w:t>
      </w:r>
      <w:proofErr w:type="gramStart"/>
      <w:r w:rsidRPr="00941D7C">
        <w:t>COM(</w:t>
      </w:r>
      <w:proofErr w:type="gramEnd"/>
      <w:r w:rsidRPr="00941D7C">
        <w:t>2025)0081 – C10</w:t>
      </w:r>
      <w:r w:rsidRPr="00941D7C">
        <w:noBreakHyphen/>
        <w:t>0037/2025 – 2025/0045(COD))</w:t>
      </w:r>
    </w:p>
    <w:p w14:paraId="2F445D35" w14:textId="77777777" w:rsidR="00CD69A0" w:rsidRPr="00941D7C" w:rsidRDefault="00CD69A0" w:rsidP="00CD69A0">
      <w:pPr>
        <w:pStyle w:val="NormalBold"/>
      </w:pPr>
      <w:r w:rsidRPr="00941D7C">
        <w:t>(Ordinary legislative procedure: first reading)</w:t>
      </w:r>
    </w:p>
    <w:p w14:paraId="6CB89331" w14:textId="77777777" w:rsidR="00CD69A0" w:rsidRPr="00941D7C" w:rsidRDefault="00CD69A0" w:rsidP="00CD69A0">
      <w:pPr>
        <w:pStyle w:val="EPComma"/>
      </w:pPr>
      <w:r w:rsidRPr="00941D7C">
        <w:rPr>
          <w:i/>
        </w:rPr>
        <w:t>The European Parliament</w:t>
      </w:r>
      <w:r w:rsidRPr="00941D7C">
        <w:t>,</w:t>
      </w:r>
    </w:p>
    <w:p w14:paraId="7FF3AFF0" w14:textId="77777777" w:rsidR="00CD69A0" w:rsidRPr="00941D7C" w:rsidRDefault="00CD69A0" w:rsidP="00CD69A0">
      <w:pPr>
        <w:pStyle w:val="NormalHanging12a"/>
      </w:pPr>
      <w:r w:rsidRPr="00941D7C">
        <w:t>–</w:t>
      </w:r>
      <w:r w:rsidRPr="00941D7C">
        <w:tab/>
        <w:t>having regard to the Commission proposal to Parliament and the Council (</w:t>
      </w:r>
      <w:proofErr w:type="gramStart"/>
      <w:r w:rsidRPr="00941D7C">
        <w:t>COM(</w:t>
      </w:r>
      <w:proofErr w:type="gramEnd"/>
      <w:r w:rsidRPr="00941D7C">
        <w:t>2025)0081),</w:t>
      </w:r>
    </w:p>
    <w:p w14:paraId="42B1952E" w14:textId="77777777" w:rsidR="00CD69A0" w:rsidRPr="00941D7C" w:rsidRDefault="00CD69A0" w:rsidP="00CD69A0">
      <w:pPr>
        <w:pStyle w:val="NormalHanging12a"/>
      </w:pPr>
      <w:r w:rsidRPr="00941D7C">
        <w:t>–</w:t>
      </w:r>
      <w:r w:rsidRPr="00941D7C">
        <w:tab/>
        <w:t>having regard to Article 294(2) and Article 50 and Article 114 of the Treaty on the Functioning of the European Union, pursuant to which the Commission submitted the proposal to Parliament (C10</w:t>
      </w:r>
      <w:r w:rsidRPr="00941D7C">
        <w:noBreakHyphen/>
        <w:t>0037/2025),</w:t>
      </w:r>
    </w:p>
    <w:p w14:paraId="31B4DD74" w14:textId="626181C0" w:rsidR="00CD69A0" w:rsidRPr="00941D7C" w:rsidRDefault="00CD69A0" w:rsidP="00CD69A0">
      <w:pPr>
        <w:pStyle w:val="NormalHanging12a"/>
      </w:pPr>
      <w:r w:rsidRPr="00941D7C">
        <w:t>–</w:t>
      </w:r>
      <w:r w:rsidRPr="00941D7C">
        <w:tab/>
        <w:t>having regard to Article 294(3) of the Treaty on the Functioning of the European Union,</w:t>
      </w:r>
    </w:p>
    <w:p w14:paraId="51BB94F1" w14:textId="0EC6E5C3" w:rsidR="005D22A8" w:rsidRPr="00941D7C" w:rsidRDefault="005D22A8" w:rsidP="00CD69A0">
      <w:pPr>
        <w:pStyle w:val="NormalHanging12a"/>
      </w:pPr>
      <w:r w:rsidRPr="00941D7C">
        <w:t>–</w:t>
      </w:r>
      <w:r w:rsidRPr="00941D7C">
        <w:tab/>
        <w:t xml:space="preserve">having regard to the opinion of the European Economic and Social Committee of </w:t>
      </w:r>
      <w:r w:rsidR="00951774" w:rsidRPr="00941D7C">
        <w:t>...</w:t>
      </w:r>
      <w:r w:rsidR="00951774" w:rsidRPr="00941D7C">
        <w:rPr>
          <w:rStyle w:val="Funotenzeichen"/>
        </w:rPr>
        <w:footnoteReference w:id="1"/>
      </w:r>
      <w:r w:rsidRPr="00941D7C">
        <w:t>,</w:t>
      </w:r>
    </w:p>
    <w:p w14:paraId="02A07985" w14:textId="006C5423" w:rsidR="00CD69A0" w:rsidRPr="00941D7C" w:rsidRDefault="00CD69A0" w:rsidP="00CD69A0">
      <w:pPr>
        <w:pStyle w:val="NormalHanging12a"/>
      </w:pPr>
      <w:r w:rsidRPr="00941D7C">
        <w:t>–</w:t>
      </w:r>
      <w:r w:rsidRPr="00941D7C">
        <w:tab/>
        <w:t xml:space="preserve">having regard to Rule </w:t>
      </w:r>
      <w:r w:rsidR="006A06F5" w:rsidRPr="00941D7C">
        <w:t>60</w:t>
      </w:r>
      <w:r w:rsidRPr="00941D7C">
        <w:t xml:space="preserve"> of its Rules of Procedure,</w:t>
      </w:r>
    </w:p>
    <w:p w14:paraId="616296A4" w14:textId="77777777" w:rsidR="00CD69A0" w:rsidRPr="00941D7C" w:rsidRDefault="00CD69A0" w:rsidP="00CD69A0">
      <w:pPr>
        <w:pStyle w:val="NormalHanging12a"/>
      </w:pPr>
      <w:r w:rsidRPr="00941D7C">
        <w:t>–</w:t>
      </w:r>
      <w:r w:rsidRPr="00941D7C">
        <w:tab/>
        <w:t>having regard to the opinions of the Committee on Foreign Affairs, Committee on International Trade, Committee on Economic and Monetary Affairs, Committee on Employment and Social Affairs and Committee on the Environment Climate and Food Safety,</w:t>
      </w:r>
    </w:p>
    <w:p w14:paraId="1E39FBAE" w14:textId="77777777" w:rsidR="00CD69A0" w:rsidRPr="00941D7C" w:rsidRDefault="00CD69A0" w:rsidP="00CD69A0">
      <w:pPr>
        <w:pStyle w:val="NormalHanging12a"/>
      </w:pPr>
      <w:r w:rsidRPr="00941D7C">
        <w:t>–</w:t>
      </w:r>
      <w:r w:rsidRPr="00941D7C">
        <w:tab/>
        <w:t>having regard to the report of the Committee on Legal Affairs (A10</w:t>
      </w:r>
      <w:r w:rsidRPr="00941D7C">
        <w:noBreakHyphen/>
        <w:t>0000/2025),</w:t>
      </w:r>
    </w:p>
    <w:p w14:paraId="3179147C" w14:textId="77777777" w:rsidR="00CD69A0" w:rsidRPr="00941D7C" w:rsidRDefault="00CD69A0" w:rsidP="00CD69A0">
      <w:pPr>
        <w:pStyle w:val="NormalHanging12a"/>
      </w:pPr>
      <w:r w:rsidRPr="00941D7C">
        <w:t>1.</w:t>
      </w:r>
      <w:r w:rsidRPr="00941D7C">
        <w:tab/>
        <w:t xml:space="preserve">Adopts its position at first reading hereinafter set </w:t>
      </w:r>
      <w:proofErr w:type="gramStart"/>
      <w:r w:rsidRPr="00941D7C">
        <w:t>out;</w:t>
      </w:r>
      <w:proofErr w:type="gramEnd"/>
    </w:p>
    <w:p w14:paraId="0D139D76" w14:textId="77777777" w:rsidR="00CD69A0" w:rsidRPr="00941D7C" w:rsidRDefault="00CD69A0" w:rsidP="00CD69A0">
      <w:pPr>
        <w:pStyle w:val="NormalHanging12a"/>
      </w:pPr>
      <w:r w:rsidRPr="00941D7C">
        <w:t>2.</w:t>
      </w:r>
      <w:r w:rsidRPr="00941D7C">
        <w:tab/>
        <w:t xml:space="preserve">Calls on the Commission to refer the matter to Parliament again if it replaces, substantially amends or intends to substantially amend its </w:t>
      </w:r>
      <w:proofErr w:type="gramStart"/>
      <w:r w:rsidRPr="00941D7C">
        <w:t>proposal;</w:t>
      </w:r>
      <w:proofErr w:type="gramEnd"/>
    </w:p>
    <w:p w14:paraId="448C6520" w14:textId="77777777" w:rsidR="00CD69A0" w:rsidRPr="00941D7C" w:rsidRDefault="00CD69A0" w:rsidP="00CD69A0">
      <w:pPr>
        <w:pStyle w:val="NormalHanging12a"/>
      </w:pPr>
      <w:r w:rsidRPr="00941D7C">
        <w:t>3.</w:t>
      </w:r>
      <w:r w:rsidRPr="00941D7C">
        <w:tab/>
        <w:t>Instructs its President to forward its position to the Council, the Commission and the national parliaments.</w:t>
      </w:r>
    </w:p>
    <w:p w14:paraId="59104B60" w14:textId="1F24C6B9" w:rsidR="00CD69A0" w:rsidRPr="00941D7C" w:rsidRDefault="00CD69A0" w:rsidP="00CD69A0"/>
    <w:p w14:paraId="60E85BE1" w14:textId="206F4269" w:rsidR="00DF6901" w:rsidRPr="00941D7C" w:rsidRDefault="00DF6901" w:rsidP="00CD69A0"/>
    <w:p w14:paraId="6753681F" w14:textId="66A9F702" w:rsidR="00DF6901" w:rsidRPr="00941D7C" w:rsidRDefault="00DF6901" w:rsidP="00CD69A0"/>
    <w:p w14:paraId="2175F80C" w14:textId="77777777" w:rsidR="00DF6901" w:rsidRPr="00941D7C" w:rsidRDefault="00DF6901" w:rsidP="00CD69A0"/>
    <w:p w14:paraId="6128780A" w14:textId="56E46C99" w:rsidR="00EE4038" w:rsidRPr="00941D7C" w:rsidRDefault="00EE4038" w:rsidP="00EE4038">
      <w:pPr>
        <w:pStyle w:val="AMNumberTabs0"/>
        <w:keepNext/>
        <w:rPr>
          <w:lang w:val="en-GB"/>
        </w:rPr>
      </w:pPr>
      <w:r w:rsidRPr="00941D7C">
        <w:rPr>
          <w:rStyle w:val="HideTWBExt"/>
          <w:lang w:val="en-GB"/>
        </w:rPr>
        <w:t>&lt;RepeatBlock-Amend&gt;&lt;Amend&gt;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1</w:t>
      </w:r>
      <w:r w:rsidRPr="00941D7C">
        <w:rPr>
          <w:rStyle w:val="HideTWBExt"/>
          <w:lang w:val="en-GB"/>
        </w:rPr>
        <w:t>&lt;/NumAm&gt;</w:t>
      </w:r>
    </w:p>
    <w:p w14:paraId="6892137D"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470285EA" w14:textId="77777777" w:rsidR="00EE4038" w:rsidRPr="00941D7C" w:rsidRDefault="00EE4038" w:rsidP="00EE4038">
      <w:pPr>
        <w:pStyle w:val="NormalBold"/>
      </w:pPr>
      <w:r w:rsidRPr="00941D7C">
        <w:rPr>
          <w:rStyle w:val="HideTWBExt"/>
        </w:rPr>
        <w:t>&lt;Article&gt;</w:t>
      </w:r>
      <w:r w:rsidRPr="00941D7C">
        <w:t>Recital 3</w:t>
      </w:r>
      <w:r w:rsidRPr="00941D7C">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71BEB704" w14:textId="77777777" w:rsidTr="00EE4038">
        <w:trPr>
          <w:jc w:val="center"/>
        </w:trPr>
        <w:tc>
          <w:tcPr>
            <w:tcW w:w="9752" w:type="dxa"/>
            <w:gridSpan w:val="2"/>
          </w:tcPr>
          <w:p w14:paraId="46D8443D" w14:textId="77777777" w:rsidR="00EE4038" w:rsidRPr="00941D7C" w:rsidRDefault="00EE4038">
            <w:pPr>
              <w:keepNext/>
            </w:pPr>
          </w:p>
        </w:tc>
      </w:tr>
      <w:tr w:rsidR="00EE4038" w:rsidRPr="00941D7C" w14:paraId="1CF2930F" w14:textId="77777777" w:rsidTr="00EE4038">
        <w:trPr>
          <w:jc w:val="center"/>
        </w:trPr>
        <w:tc>
          <w:tcPr>
            <w:tcW w:w="4876" w:type="dxa"/>
            <w:hideMark/>
          </w:tcPr>
          <w:p w14:paraId="3C801302"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186605A0" w14:textId="77777777" w:rsidR="00EE4038" w:rsidRPr="00941D7C" w:rsidRDefault="00EE4038">
            <w:pPr>
              <w:pStyle w:val="ColumnHeading"/>
              <w:keepNext/>
              <w:rPr>
                <w:lang w:val="en-GB"/>
              </w:rPr>
            </w:pPr>
            <w:r w:rsidRPr="00941D7C">
              <w:rPr>
                <w:lang w:val="en-GB"/>
              </w:rPr>
              <w:t>Amendment</w:t>
            </w:r>
          </w:p>
        </w:tc>
      </w:tr>
      <w:tr w:rsidR="00EE4038" w:rsidRPr="00941D7C" w14:paraId="6F218BF6" w14:textId="77777777" w:rsidTr="00EE4038">
        <w:trPr>
          <w:jc w:val="center"/>
        </w:trPr>
        <w:tc>
          <w:tcPr>
            <w:tcW w:w="4876" w:type="dxa"/>
            <w:hideMark/>
          </w:tcPr>
          <w:p w14:paraId="21006850" w14:textId="77777777" w:rsidR="00EE4038" w:rsidRPr="00941D7C" w:rsidRDefault="00EE4038">
            <w:pPr>
              <w:pStyle w:val="Normal6"/>
              <w:rPr>
                <w:lang w:val="en-GB"/>
              </w:rPr>
            </w:pPr>
            <w:r w:rsidRPr="00941D7C">
              <w:rPr>
                <w:lang w:val="en-GB"/>
              </w:rPr>
              <w:t>(3)</w:t>
            </w:r>
            <w:r w:rsidRPr="00941D7C">
              <w:rPr>
                <w:lang w:val="en-GB"/>
              </w:rPr>
              <w:tab/>
              <w:t>Article 26</w:t>
            </w:r>
            <w:proofErr w:type="gramStart"/>
            <w:r w:rsidRPr="00941D7C">
              <w:rPr>
                <w:lang w:val="en-GB"/>
              </w:rPr>
              <w:t>a(</w:t>
            </w:r>
            <w:proofErr w:type="gramEnd"/>
            <w:r w:rsidRPr="00941D7C">
              <w:rPr>
                <w:lang w:val="en-GB"/>
              </w:rPr>
              <w:t>1) of Directive 2006/43/EC requires Member States to ensure that statutory auditors and audit firms carry out the assurance of sustainability reporting in compliance with limited assurance standards to be adopted by the Commission. Article 26</w:t>
            </w:r>
            <w:proofErr w:type="gramStart"/>
            <w:r w:rsidRPr="00941D7C">
              <w:rPr>
                <w:lang w:val="en-GB"/>
              </w:rPr>
              <w:t>a(</w:t>
            </w:r>
            <w:proofErr w:type="gramEnd"/>
            <w:r w:rsidRPr="00941D7C">
              <w:rPr>
                <w:lang w:val="en-GB"/>
              </w:rPr>
              <w:t xml:space="preserve">3) of that Directive requires the Commission to adopt those standards by 1 October 2026. Undertakings have raised concerns on the work carried out by the assurance providers and have expressed the need for flexibility in addressing specific risks and critical issues identified in the areas of sustainability assurance. </w:t>
            </w:r>
            <w:r w:rsidRPr="00941D7C">
              <w:rPr>
                <w:b/>
                <w:i/>
                <w:lang w:val="en-GB"/>
              </w:rPr>
              <w:t>To enable</w:t>
            </w:r>
            <w:r w:rsidRPr="00941D7C">
              <w:rPr>
                <w:lang w:val="en-GB"/>
              </w:rPr>
              <w:t xml:space="preserve"> the Commission </w:t>
            </w:r>
            <w:r w:rsidRPr="00941D7C">
              <w:rPr>
                <w:b/>
                <w:i/>
                <w:lang w:val="en-GB"/>
              </w:rPr>
              <w:t xml:space="preserve">to </w:t>
            </w:r>
            <w:r w:rsidRPr="00941D7C">
              <w:rPr>
                <w:lang w:val="en-GB"/>
              </w:rPr>
              <w:t xml:space="preserve">take account </w:t>
            </w:r>
            <w:r w:rsidRPr="00941D7C">
              <w:rPr>
                <w:b/>
                <w:i/>
                <w:lang w:val="en-GB"/>
              </w:rPr>
              <w:t xml:space="preserve">of </w:t>
            </w:r>
            <w:r w:rsidRPr="00941D7C">
              <w:rPr>
                <w:lang w:val="en-GB"/>
              </w:rPr>
              <w:t>those concerns</w:t>
            </w:r>
            <w:r w:rsidRPr="00941D7C">
              <w:rPr>
                <w:b/>
                <w:i/>
                <w:lang w:val="en-GB"/>
              </w:rPr>
              <w:t>, it should be given more flexibility in adopting those standards. In any case, the Commission will issue targeted assurance guidelines by 2026 that clarify the necessary procedures that assurance providers are to perform as part of their</w:t>
            </w:r>
            <w:r w:rsidRPr="00941D7C">
              <w:rPr>
                <w:lang w:val="en-GB"/>
              </w:rPr>
              <w:t xml:space="preserve"> limited assurance </w:t>
            </w:r>
            <w:r w:rsidRPr="00941D7C">
              <w:rPr>
                <w:b/>
                <w:i/>
                <w:lang w:val="en-GB"/>
              </w:rPr>
              <w:t>engagement before adopting the</w:t>
            </w:r>
            <w:r w:rsidRPr="00941D7C">
              <w:rPr>
                <w:lang w:val="en-GB"/>
              </w:rPr>
              <w:t xml:space="preserve"> standards </w:t>
            </w:r>
            <w:r w:rsidRPr="00941D7C">
              <w:rPr>
                <w:b/>
                <w:i/>
                <w:lang w:val="en-GB"/>
              </w:rPr>
              <w:t>by delegated act</w:t>
            </w:r>
            <w:r w:rsidRPr="00941D7C">
              <w:rPr>
                <w:lang w:val="en-GB"/>
              </w:rPr>
              <w:t>.</w:t>
            </w:r>
          </w:p>
        </w:tc>
        <w:tc>
          <w:tcPr>
            <w:tcW w:w="4876" w:type="dxa"/>
            <w:hideMark/>
          </w:tcPr>
          <w:p w14:paraId="27AE91F1" w14:textId="276006B8" w:rsidR="00EE4038" w:rsidRPr="00941D7C" w:rsidRDefault="00EE4038" w:rsidP="00621DC6">
            <w:pPr>
              <w:pStyle w:val="Normal6"/>
              <w:rPr>
                <w:szCs w:val="24"/>
                <w:lang w:val="en-GB"/>
              </w:rPr>
            </w:pPr>
            <w:r w:rsidRPr="00941D7C">
              <w:rPr>
                <w:lang w:val="en-GB"/>
              </w:rPr>
              <w:t>(3)</w:t>
            </w:r>
            <w:r w:rsidRPr="00941D7C">
              <w:rPr>
                <w:lang w:val="en-GB"/>
              </w:rPr>
              <w:tab/>
              <w:t>Article 26</w:t>
            </w:r>
            <w:proofErr w:type="gramStart"/>
            <w:r w:rsidRPr="00941D7C">
              <w:rPr>
                <w:lang w:val="en-GB"/>
              </w:rPr>
              <w:t>a(</w:t>
            </w:r>
            <w:proofErr w:type="gramEnd"/>
            <w:r w:rsidRPr="00941D7C">
              <w:rPr>
                <w:lang w:val="en-GB"/>
              </w:rPr>
              <w:t>1) of Directive 2006/43/EC requires Member States to ensure that statutory auditors and audit firms carry out the assurance of sustainability reporting in compliance with limited assurance standards to be adopted by the Commission. Article 26</w:t>
            </w:r>
            <w:proofErr w:type="gramStart"/>
            <w:r w:rsidRPr="00941D7C">
              <w:rPr>
                <w:lang w:val="en-GB"/>
              </w:rPr>
              <w:t>a(</w:t>
            </w:r>
            <w:proofErr w:type="gramEnd"/>
            <w:r w:rsidRPr="00941D7C">
              <w:rPr>
                <w:lang w:val="en-GB"/>
              </w:rPr>
              <w:t xml:space="preserve">3) of that Directive requires the Commission to adopt those standards by 1 October 2026. Undertakings have raised concerns on the work carried out by the assurance providers and have expressed the need for flexibility in addressing specific risks and critical issues identified in the areas of sustainability assurance. The Commission </w:t>
            </w:r>
            <w:r w:rsidRPr="00941D7C">
              <w:rPr>
                <w:b/>
                <w:i/>
                <w:lang w:val="en-GB"/>
              </w:rPr>
              <w:t xml:space="preserve">should duly </w:t>
            </w:r>
            <w:proofErr w:type="gramStart"/>
            <w:r w:rsidRPr="00941D7C">
              <w:rPr>
                <w:lang w:val="en-GB"/>
              </w:rPr>
              <w:t>take</w:t>
            </w:r>
            <w:r w:rsidRPr="00941D7C">
              <w:rPr>
                <w:b/>
                <w:i/>
                <w:lang w:val="en-GB"/>
              </w:rPr>
              <w:t xml:space="preserve"> into</w:t>
            </w:r>
            <w:r w:rsidRPr="00941D7C">
              <w:rPr>
                <w:lang w:val="en-GB"/>
              </w:rPr>
              <w:t xml:space="preserve"> account</w:t>
            </w:r>
            <w:proofErr w:type="gramEnd"/>
            <w:r w:rsidRPr="00941D7C">
              <w:rPr>
                <w:lang w:val="en-GB"/>
              </w:rPr>
              <w:t xml:space="preserve"> th</w:t>
            </w:r>
            <w:r w:rsidR="00621DC6" w:rsidRPr="00941D7C">
              <w:rPr>
                <w:lang w:val="en-GB"/>
              </w:rPr>
              <w:t>o</w:t>
            </w:r>
            <w:r w:rsidRPr="00941D7C">
              <w:rPr>
                <w:lang w:val="en-GB"/>
              </w:rPr>
              <w:t xml:space="preserve">se concerns </w:t>
            </w:r>
            <w:r w:rsidRPr="00941D7C">
              <w:rPr>
                <w:b/>
                <w:i/>
                <w:lang w:val="en-GB"/>
              </w:rPr>
              <w:t>when working on the</w:t>
            </w:r>
            <w:r w:rsidRPr="00941D7C">
              <w:rPr>
                <w:lang w:val="en-GB"/>
              </w:rPr>
              <w:t xml:space="preserve"> limited assurance standards</w:t>
            </w:r>
            <w:r w:rsidRPr="00941D7C">
              <w:rPr>
                <w:b/>
                <w:i/>
                <w:lang w:val="en-GB"/>
              </w:rPr>
              <w:t>. Th</w:t>
            </w:r>
            <w:r w:rsidR="00621DC6" w:rsidRPr="00941D7C">
              <w:rPr>
                <w:b/>
                <w:i/>
                <w:lang w:val="en-GB"/>
              </w:rPr>
              <w:t>at</w:t>
            </w:r>
            <w:r w:rsidRPr="00941D7C">
              <w:rPr>
                <w:b/>
                <w:i/>
                <w:lang w:val="en-GB"/>
              </w:rPr>
              <w:t xml:space="preserve"> </w:t>
            </w:r>
            <w:r w:rsidR="00621DC6" w:rsidRPr="00941D7C">
              <w:rPr>
                <w:b/>
                <w:i/>
                <w:lang w:val="en-GB"/>
              </w:rPr>
              <w:t xml:space="preserve">deadline of </w:t>
            </w:r>
            <w:r w:rsidRPr="00941D7C">
              <w:rPr>
                <w:b/>
                <w:i/>
                <w:lang w:val="en-GB"/>
              </w:rPr>
              <w:t xml:space="preserve">1 October 2026 </w:t>
            </w:r>
            <w:r w:rsidR="00621DC6" w:rsidRPr="00941D7C">
              <w:rPr>
                <w:b/>
                <w:i/>
                <w:lang w:val="en-GB"/>
              </w:rPr>
              <w:t xml:space="preserve">should be retained </w:t>
            </w:r>
            <w:proofErr w:type="gramStart"/>
            <w:r w:rsidR="00621DC6" w:rsidRPr="00941D7C">
              <w:rPr>
                <w:b/>
                <w:i/>
                <w:lang w:val="en-GB"/>
              </w:rPr>
              <w:t xml:space="preserve">in order </w:t>
            </w:r>
            <w:r w:rsidRPr="00941D7C">
              <w:rPr>
                <w:b/>
                <w:i/>
                <w:lang w:val="en-GB"/>
              </w:rPr>
              <w:t>to</w:t>
            </w:r>
            <w:proofErr w:type="gramEnd"/>
            <w:r w:rsidRPr="00941D7C">
              <w:rPr>
                <w:b/>
                <w:i/>
                <w:lang w:val="en-GB"/>
              </w:rPr>
              <w:t xml:space="preserve"> ensure that undertakings know what to expect </w:t>
            </w:r>
            <w:r w:rsidR="00621DC6" w:rsidRPr="00941D7C">
              <w:rPr>
                <w:b/>
                <w:i/>
                <w:lang w:val="en-GB"/>
              </w:rPr>
              <w:t xml:space="preserve">when it comes to </w:t>
            </w:r>
            <w:r w:rsidRPr="00941D7C">
              <w:rPr>
                <w:b/>
                <w:i/>
                <w:lang w:val="en-GB"/>
              </w:rPr>
              <w:t>sustainability assurance</w:t>
            </w:r>
            <w:r w:rsidRPr="00941D7C">
              <w:rPr>
                <w:lang w:val="en-GB"/>
              </w:rPr>
              <w:t>.</w:t>
            </w:r>
          </w:p>
        </w:tc>
      </w:tr>
    </w:tbl>
    <w:p w14:paraId="75034C28"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1A8D9B09" w14:textId="77777777" w:rsidR="00EE4038" w:rsidRPr="00941D7C" w:rsidRDefault="00EE4038" w:rsidP="00EE4038">
      <w:r w:rsidRPr="00941D7C">
        <w:rPr>
          <w:rStyle w:val="HideTWBExt"/>
        </w:rPr>
        <w:t>&lt;/Amend&gt;</w:t>
      </w:r>
    </w:p>
    <w:p w14:paraId="45816F87" w14:textId="29EE84F5"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2</w:t>
      </w:r>
      <w:r w:rsidRPr="00941D7C">
        <w:rPr>
          <w:rStyle w:val="HideTWBExt"/>
          <w:lang w:val="en-GB"/>
        </w:rPr>
        <w:t>&lt;/NumAm&gt;</w:t>
      </w:r>
    </w:p>
    <w:p w14:paraId="11A05DEB"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503FCBF9" w14:textId="77777777" w:rsidR="00EE4038" w:rsidRPr="00941D7C" w:rsidRDefault="00EE4038" w:rsidP="00EE4038">
      <w:pPr>
        <w:pStyle w:val="NormalBold"/>
      </w:pPr>
      <w:r w:rsidRPr="00941D7C">
        <w:rPr>
          <w:rStyle w:val="HideTWBExt"/>
        </w:rPr>
        <w:t>&lt;Article&gt;</w:t>
      </w:r>
      <w:r w:rsidRPr="00941D7C">
        <w:t>Recital 5</w:t>
      </w:r>
      <w:r w:rsidRPr="00941D7C">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0018280D" w14:textId="77777777" w:rsidTr="00EE4038">
        <w:trPr>
          <w:jc w:val="center"/>
        </w:trPr>
        <w:tc>
          <w:tcPr>
            <w:tcW w:w="9752" w:type="dxa"/>
            <w:gridSpan w:val="2"/>
          </w:tcPr>
          <w:p w14:paraId="3A80F3DD" w14:textId="77777777" w:rsidR="00EE4038" w:rsidRPr="00941D7C" w:rsidRDefault="00EE4038">
            <w:pPr>
              <w:keepNext/>
            </w:pPr>
          </w:p>
        </w:tc>
      </w:tr>
      <w:tr w:rsidR="00EE4038" w:rsidRPr="00941D7C" w14:paraId="57870669" w14:textId="77777777" w:rsidTr="00EE4038">
        <w:trPr>
          <w:jc w:val="center"/>
        </w:trPr>
        <w:tc>
          <w:tcPr>
            <w:tcW w:w="4876" w:type="dxa"/>
            <w:hideMark/>
          </w:tcPr>
          <w:p w14:paraId="39C52821"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5BA156AD" w14:textId="77777777" w:rsidR="00EE4038" w:rsidRPr="00941D7C" w:rsidRDefault="00EE4038">
            <w:pPr>
              <w:pStyle w:val="ColumnHeading"/>
              <w:keepNext/>
              <w:rPr>
                <w:lang w:val="en-GB"/>
              </w:rPr>
            </w:pPr>
            <w:r w:rsidRPr="00941D7C">
              <w:rPr>
                <w:lang w:val="en-GB"/>
              </w:rPr>
              <w:t>Amendment</w:t>
            </w:r>
          </w:p>
        </w:tc>
      </w:tr>
      <w:tr w:rsidR="00EE4038" w:rsidRPr="00941D7C" w14:paraId="706507B3" w14:textId="77777777" w:rsidTr="00EE4038">
        <w:trPr>
          <w:jc w:val="center"/>
        </w:trPr>
        <w:tc>
          <w:tcPr>
            <w:tcW w:w="4876" w:type="dxa"/>
            <w:hideMark/>
          </w:tcPr>
          <w:p w14:paraId="720DC2A2" w14:textId="77777777" w:rsidR="00EE4038" w:rsidRPr="00941D7C" w:rsidRDefault="00EE4038">
            <w:pPr>
              <w:pStyle w:val="Normal6"/>
              <w:rPr>
                <w:lang w:val="en-GB"/>
              </w:rPr>
            </w:pPr>
            <w:r w:rsidRPr="00941D7C">
              <w:rPr>
                <w:lang w:val="en-GB"/>
              </w:rPr>
              <w:t>(5)</w:t>
            </w:r>
            <w:r w:rsidRPr="00941D7C">
              <w:rPr>
                <w:lang w:val="en-GB"/>
              </w:rPr>
              <w:tab/>
              <w:t>Article 19</w:t>
            </w:r>
            <w:proofErr w:type="gramStart"/>
            <w:r w:rsidRPr="00941D7C">
              <w:rPr>
                <w:lang w:val="en-GB"/>
              </w:rPr>
              <w:t>a(</w:t>
            </w:r>
            <w:proofErr w:type="gramEnd"/>
            <w:r w:rsidRPr="00941D7C">
              <w:rPr>
                <w:lang w:val="en-GB"/>
              </w:rPr>
              <w:t xml:space="preserve">1) of Directive 2013/34/EU requires large undertakings and small and medium-sized undertakings with securities admitted to trading on an EU regulated market, excluding micro-undertakings, to prepare and publish a sustainability statement at individual level. To reduce the reporting burden on undertakings, the obligation to prepare and publish a sustainability statement at individual level should be reduced to </w:t>
            </w:r>
            <w:r w:rsidRPr="00941D7C">
              <w:rPr>
                <w:b/>
                <w:i/>
                <w:lang w:val="en-GB"/>
              </w:rPr>
              <w:t>large</w:t>
            </w:r>
            <w:r w:rsidRPr="00941D7C">
              <w:rPr>
                <w:lang w:val="en-GB"/>
              </w:rPr>
              <w:t xml:space="preserve"> undertakings with an average of more than </w:t>
            </w:r>
            <w:r w:rsidRPr="00941D7C">
              <w:rPr>
                <w:b/>
                <w:i/>
                <w:lang w:val="en-GB"/>
              </w:rPr>
              <w:t>1000</w:t>
            </w:r>
            <w:r w:rsidRPr="00941D7C">
              <w:rPr>
                <w:lang w:val="en-GB"/>
              </w:rPr>
              <w:t xml:space="preserve"> employees during the financial year. </w:t>
            </w:r>
            <w:r w:rsidRPr="00941D7C">
              <w:rPr>
                <w:b/>
                <w:i/>
                <w:lang w:val="en-GB"/>
              </w:rPr>
              <w:t>Considering that for an undertaking to be large it has to exceed two out of the three criteria in Article 3(4) of Directive 2013/34/EU, this means that to be subject toto the reporting requirements an</w:t>
            </w:r>
            <w:r w:rsidRPr="00941D7C">
              <w:rPr>
                <w:lang w:val="en-GB"/>
              </w:rPr>
              <w:t xml:space="preserve"> </w:t>
            </w:r>
            <w:proofErr w:type="gramStart"/>
            <w:r w:rsidRPr="00941D7C">
              <w:rPr>
                <w:lang w:val="en-GB"/>
              </w:rPr>
              <w:t>undertakings</w:t>
            </w:r>
            <w:proofErr w:type="gramEnd"/>
            <w:r w:rsidRPr="00941D7C">
              <w:rPr>
                <w:lang w:val="en-GB"/>
              </w:rPr>
              <w:t xml:space="preserve"> </w:t>
            </w:r>
            <w:r w:rsidRPr="00941D7C">
              <w:rPr>
                <w:b/>
                <w:i/>
                <w:lang w:val="en-GB"/>
              </w:rPr>
              <w:t>must have an average of more than 1000 employees during the financial year and either a net turnover above EUR 50 million or a balance sheet total above EUR 25 million</w:t>
            </w:r>
            <w:r w:rsidRPr="00941D7C">
              <w:rPr>
                <w:lang w:val="en-GB"/>
              </w:rPr>
              <w:t>.</w:t>
            </w:r>
          </w:p>
        </w:tc>
        <w:tc>
          <w:tcPr>
            <w:tcW w:w="4876" w:type="dxa"/>
            <w:hideMark/>
          </w:tcPr>
          <w:p w14:paraId="14F0AE8D" w14:textId="42FCFB23" w:rsidR="00EE4038" w:rsidRPr="00941D7C" w:rsidRDefault="00EE4038" w:rsidP="00621DC6">
            <w:pPr>
              <w:pStyle w:val="Normal6"/>
              <w:rPr>
                <w:szCs w:val="24"/>
                <w:lang w:val="en-GB"/>
              </w:rPr>
            </w:pPr>
            <w:r w:rsidRPr="00941D7C">
              <w:rPr>
                <w:lang w:val="en-GB"/>
              </w:rPr>
              <w:t>(5)</w:t>
            </w:r>
            <w:r w:rsidRPr="00941D7C">
              <w:rPr>
                <w:lang w:val="en-GB"/>
              </w:rPr>
              <w:tab/>
              <w:t>Article 19</w:t>
            </w:r>
            <w:proofErr w:type="gramStart"/>
            <w:r w:rsidRPr="00941D7C">
              <w:rPr>
                <w:lang w:val="en-GB"/>
              </w:rPr>
              <w:t>a(</w:t>
            </w:r>
            <w:proofErr w:type="gramEnd"/>
            <w:r w:rsidRPr="00941D7C">
              <w:rPr>
                <w:lang w:val="en-GB"/>
              </w:rPr>
              <w:t xml:space="preserve">1) of Directive 2013/34/EU requires large undertakings and small and medium-sized undertakings with securities admitted to trading on an EU regulated market, excluding micro-undertakings, to prepare and publish a sustainability statement at individual level. To reduce the reporting burden on undertakings, the obligation to prepare and publish a sustainability statement at individual level should be reduced to undertakings with an average of more than </w:t>
            </w:r>
            <w:r w:rsidRPr="00941D7C">
              <w:rPr>
                <w:b/>
                <w:i/>
                <w:lang w:val="en-GB"/>
              </w:rPr>
              <w:t>3000</w:t>
            </w:r>
            <w:r w:rsidRPr="00941D7C">
              <w:rPr>
                <w:lang w:val="en-GB"/>
              </w:rPr>
              <w:t xml:space="preserve"> employees </w:t>
            </w:r>
            <w:r w:rsidRPr="00941D7C">
              <w:rPr>
                <w:b/>
                <w:i/>
                <w:lang w:val="en-GB"/>
              </w:rPr>
              <w:t>and a net turnover of more than EUR 450 000 000</w:t>
            </w:r>
            <w:r w:rsidRPr="00941D7C">
              <w:rPr>
                <w:lang w:val="en-GB"/>
              </w:rPr>
              <w:t xml:space="preserve"> during the financial year. </w:t>
            </w:r>
            <w:r w:rsidR="00621DC6" w:rsidRPr="00941D7C">
              <w:rPr>
                <w:b/>
                <w:i/>
                <w:lang w:val="en-GB"/>
              </w:rPr>
              <w:t>It should be possible to exempt</w:t>
            </w:r>
            <w:r w:rsidRPr="00941D7C">
              <w:rPr>
                <w:b/>
                <w:i/>
                <w:lang w:val="en-GB"/>
              </w:rPr>
              <w:t xml:space="preserve"> ultimate parent undertakings which are financial holding</w:t>
            </w:r>
            <w:r w:rsidRPr="00941D7C">
              <w:rPr>
                <w:lang w:val="en-GB"/>
              </w:rPr>
              <w:t xml:space="preserve"> undertakings </w:t>
            </w:r>
            <w:r w:rsidRPr="00941D7C">
              <w:rPr>
                <w:b/>
                <w:i/>
                <w:lang w:val="en-GB"/>
              </w:rPr>
              <w:t>not involved in management activities</w:t>
            </w:r>
            <w:r w:rsidR="00621DC6" w:rsidRPr="00941D7C">
              <w:rPr>
                <w:b/>
                <w:i/>
                <w:lang w:val="en-GB"/>
              </w:rPr>
              <w:t xml:space="preserve"> </w:t>
            </w:r>
            <w:r w:rsidRPr="00941D7C">
              <w:rPr>
                <w:b/>
                <w:i/>
                <w:lang w:val="en-GB"/>
              </w:rPr>
              <w:t xml:space="preserve">from </w:t>
            </w:r>
            <w:r w:rsidR="00621DC6" w:rsidRPr="00941D7C">
              <w:rPr>
                <w:b/>
                <w:i/>
                <w:lang w:val="en-GB"/>
              </w:rPr>
              <w:t xml:space="preserve">complying with </w:t>
            </w:r>
            <w:r w:rsidRPr="00941D7C">
              <w:rPr>
                <w:b/>
                <w:i/>
                <w:lang w:val="en-GB"/>
              </w:rPr>
              <w:t xml:space="preserve">reporting obligations </w:t>
            </w:r>
            <w:r w:rsidR="00621DC6" w:rsidRPr="00941D7C">
              <w:rPr>
                <w:b/>
                <w:i/>
                <w:lang w:val="en-GB"/>
              </w:rPr>
              <w:t xml:space="preserve">provided that </w:t>
            </w:r>
            <w:r w:rsidRPr="00941D7C">
              <w:rPr>
                <w:b/>
                <w:i/>
                <w:lang w:val="en-GB"/>
              </w:rPr>
              <w:t xml:space="preserve">an operational subsidiary of </w:t>
            </w:r>
            <w:r w:rsidR="00621DC6" w:rsidRPr="00941D7C">
              <w:rPr>
                <w:b/>
                <w:i/>
                <w:lang w:val="en-GB"/>
              </w:rPr>
              <w:t xml:space="preserve">such </w:t>
            </w:r>
            <w:r w:rsidRPr="00941D7C">
              <w:rPr>
                <w:b/>
                <w:i/>
                <w:lang w:val="en-GB"/>
              </w:rPr>
              <w:t>undertaking</w:t>
            </w:r>
            <w:r w:rsidR="00621DC6" w:rsidRPr="00941D7C">
              <w:rPr>
                <w:b/>
                <w:i/>
                <w:lang w:val="en-GB"/>
              </w:rPr>
              <w:t>s</w:t>
            </w:r>
            <w:r w:rsidRPr="00941D7C">
              <w:rPr>
                <w:b/>
                <w:i/>
                <w:lang w:val="en-GB"/>
              </w:rPr>
              <w:t xml:space="preserve"> is designated to </w:t>
            </w:r>
            <w:r w:rsidR="00621DC6" w:rsidRPr="00941D7C">
              <w:rPr>
                <w:b/>
                <w:i/>
                <w:lang w:val="en-GB"/>
              </w:rPr>
              <w:t xml:space="preserve">comply with </w:t>
            </w:r>
            <w:r w:rsidRPr="00941D7C">
              <w:rPr>
                <w:b/>
                <w:i/>
                <w:lang w:val="en-GB"/>
              </w:rPr>
              <w:t>such obligations</w:t>
            </w:r>
            <w:r w:rsidRPr="00941D7C">
              <w:rPr>
                <w:lang w:val="en-GB"/>
              </w:rPr>
              <w:t>.</w:t>
            </w:r>
          </w:p>
        </w:tc>
      </w:tr>
    </w:tbl>
    <w:p w14:paraId="6EE54BDF"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6D9C8EF0" w14:textId="77777777" w:rsidR="00EE4038" w:rsidRPr="00941D7C" w:rsidRDefault="00EE4038" w:rsidP="00EE4038">
      <w:r w:rsidRPr="00941D7C">
        <w:rPr>
          <w:rStyle w:val="HideTWBExt"/>
        </w:rPr>
        <w:t>&lt;/Amend&gt;</w:t>
      </w:r>
    </w:p>
    <w:p w14:paraId="2A2480CE" w14:textId="7E3B42FB"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3</w:t>
      </w:r>
      <w:r w:rsidRPr="00941D7C">
        <w:rPr>
          <w:rStyle w:val="HideTWBExt"/>
          <w:lang w:val="en-GB"/>
        </w:rPr>
        <w:t>&lt;/NumAm&gt;</w:t>
      </w:r>
    </w:p>
    <w:p w14:paraId="556E1CCD"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7C53C6A0" w14:textId="77777777" w:rsidR="00EE4038" w:rsidRPr="00941D7C" w:rsidRDefault="00EE4038" w:rsidP="00EE4038">
      <w:pPr>
        <w:pStyle w:val="NormalBold"/>
      </w:pPr>
      <w:r w:rsidRPr="00941D7C">
        <w:rPr>
          <w:rStyle w:val="HideTWBExt"/>
        </w:rPr>
        <w:t>&lt;Article&gt;</w:t>
      </w:r>
      <w:r w:rsidRPr="00941D7C">
        <w:t>Recital 6</w:t>
      </w:r>
      <w:r w:rsidRPr="00941D7C">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254DF3A0" w14:textId="77777777" w:rsidTr="00EE4038">
        <w:trPr>
          <w:jc w:val="center"/>
        </w:trPr>
        <w:tc>
          <w:tcPr>
            <w:tcW w:w="9752" w:type="dxa"/>
            <w:gridSpan w:val="2"/>
          </w:tcPr>
          <w:p w14:paraId="34F7E661" w14:textId="77777777" w:rsidR="00EE4038" w:rsidRPr="00941D7C" w:rsidRDefault="00EE4038">
            <w:pPr>
              <w:keepNext/>
            </w:pPr>
          </w:p>
        </w:tc>
      </w:tr>
      <w:tr w:rsidR="00EE4038" w:rsidRPr="00941D7C" w14:paraId="08A937E3" w14:textId="77777777" w:rsidTr="00EE4038">
        <w:trPr>
          <w:jc w:val="center"/>
        </w:trPr>
        <w:tc>
          <w:tcPr>
            <w:tcW w:w="4876" w:type="dxa"/>
            <w:hideMark/>
          </w:tcPr>
          <w:p w14:paraId="3A88198B"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1248A9DD" w14:textId="77777777" w:rsidR="00EE4038" w:rsidRPr="00941D7C" w:rsidRDefault="00EE4038">
            <w:pPr>
              <w:pStyle w:val="ColumnHeading"/>
              <w:keepNext/>
              <w:rPr>
                <w:lang w:val="en-GB"/>
              </w:rPr>
            </w:pPr>
            <w:r w:rsidRPr="00941D7C">
              <w:rPr>
                <w:lang w:val="en-GB"/>
              </w:rPr>
              <w:t>Amendment</w:t>
            </w:r>
          </w:p>
        </w:tc>
      </w:tr>
      <w:tr w:rsidR="00EE4038" w:rsidRPr="00941D7C" w14:paraId="2C755874" w14:textId="77777777" w:rsidTr="00EE4038">
        <w:trPr>
          <w:jc w:val="center"/>
        </w:trPr>
        <w:tc>
          <w:tcPr>
            <w:tcW w:w="4876" w:type="dxa"/>
            <w:hideMark/>
          </w:tcPr>
          <w:p w14:paraId="5ED1C692" w14:textId="77777777" w:rsidR="00EE4038" w:rsidRPr="00941D7C" w:rsidRDefault="00EE4038">
            <w:pPr>
              <w:pStyle w:val="Normal6"/>
              <w:rPr>
                <w:lang w:val="en-GB"/>
              </w:rPr>
            </w:pPr>
            <w:r w:rsidRPr="00941D7C">
              <w:rPr>
                <w:lang w:val="en-GB"/>
              </w:rPr>
              <w:t>(6)</w:t>
            </w:r>
            <w:r w:rsidRPr="00941D7C">
              <w:rPr>
                <w:lang w:val="en-GB"/>
              </w:rPr>
              <w:tab/>
              <w:t>A balance needs to be found between the objectives of data generation and reduction of administrative burden. Sustainability reporting, including the information referred to in Article 8 of Regulation (EU) 2020/852 of the European Parliament and of the Council</w:t>
            </w:r>
            <w:r w:rsidRPr="00941D7C">
              <w:rPr>
                <w:vertAlign w:val="superscript"/>
                <w:lang w:val="en-GB"/>
              </w:rPr>
              <w:t>9</w:t>
            </w:r>
            <w:r w:rsidRPr="00941D7C">
              <w:rPr>
                <w:lang w:val="en-GB"/>
              </w:rPr>
              <w:t>, of</w:t>
            </w:r>
            <w:r w:rsidRPr="00941D7C">
              <w:rPr>
                <w:b/>
                <w:i/>
                <w:lang w:val="en-GB"/>
              </w:rPr>
              <w:t xml:space="preserve"> large</w:t>
            </w:r>
            <w:r w:rsidRPr="00941D7C">
              <w:rPr>
                <w:lang w:val="en-GB"/>
              </w:rPr>
              <w:t xml:space="preserve"> undertakings with an average of more than </w:t>
            </w:r>
            <w:r w:rsidRPr="00941D7C">
              <w:rPr>
                <w:b/>
                <w:i/>
                <w:lang w:val="en-GB"/>
              </w:rPr>
              <w:t>1000</w:t>
            </w:r>
            <w:r w:rsidRPr="00941D7C">
              <w:rPr>
                <w:lang w:val="en-GB"/>
              </w:rPr>
              <w:t xml:space="preserve"> employees during the financial year is indispensable to understand the transition to a climate-neutral economy. In the light of the balance to be found between the objectives of data generation and reduction of administrative burden, </w:t>
            </w:r>
            <w:r w:rsidRPr="00941D7C">
              <w:rPr>
                <w:b/>
                <w:i/>
                <w:lang w:val="en-GB"/>
              </w:rPr>
              <w:t>large</w:t>
            </w:r>
            <w:r w:rsidRPr="00941D7C">
              <w:rPr>
                <w:lang w:val="en-GB"/>
              </w:rPr>
              <w:t xml:space="preserve"> undertakings within the new scope for sustainability reporting </w:t>
            </w:r>
            <w:r w:rsidRPr="00941D7C">
              <w:rPr>
                <w:b/>
                <w:i/>
                <w:lang w:val="en-GB"/>
              </w:rPr>
              <w:t>that have a net turnover not exceeding EUR 450 000 000 during the financial year</w:t>
            </w:r>
            <w:r w:rsidRPr="00941D7C">
              <w:rPr>
                <w:lang w:val="en-GB"/>
              </w:rPr>
              <w:t xml:space="preserve"> should be able to disclose information referred to in Article 8 of Regulation (EU) 2020/852 in a more flexible way. The Commission should be empowered to set out rules supplementing the reporting regime for those undertakings. It should </w:t>
            </w:r>
            <w:proofErr w:type="gramStart"/>
            <w:r w:rsidRPr="00941D7C">
              <w:rPr>
                <w:lang w:val="en-GB"/>
              </w:rPr>
              <w:t>in particular be</w:t>
            </w:r>
            <w:proofErr w:type="gramEnd"/>
            <w:r w:rsidRPr="00941D7C">
              <w:rPr>
                <w:lang w:val="en-GB"/>
              </w:rPr>
              <w:t xml:space="preserve"> clarified that the Commission is empowered to specify the reporting regime for activities that are only partially taxonomy aligned.</w:t>
            </w:r>
          </w:p>
        </w:tc>
        <w:tc>
          <w:tcPr>
            <w:tcW w:w="4876" w:type="dxa"/>
            <w:hideMark/>
          </w:tcPr>
          <w:p w14:paraId="30BBB757" w14:textId="77777777" w:rsidR="00EE4038" w:rsidRPr="00941D7C" w:rsidRDefault="00EE4038">
            <w:pPr>
              <w:pStyle w:val="Normal6"/>
              <w:rPr>
                <w:szCs w:val="24"/>
                <w:lang w:val="en-GB"/>
              </w:rPr>
            </w:pPr>
            <w:r w:rsidRPr="00941D7C">
              <w:rPr>
                <w:lang w:val="en-GB"/>
              </w:rPr>
              <w:t>(6)</w:t>
            </w:r>
            <w:r w:rsidRPr="00941D7C">
              <w:rPr>
                <w:lang w:val="en-GB"/>
              </w:rPr>
              <w:tab/>
              <w:t>A balance needs to be found between the objectives of data generation and reduction of administrative burden. Sustainability reporting, including the information referred to in Article 8 of Regulation (EU) 2020/852 of the European Parliament and of the Council</w:t>
            </w:r>
            <w:r w:rsidRPr="00941D7C">
              <w:rPr>
                <w:vertAlign w:val="superscript"/>
                <w:lang w:val="en-GB"/>
              </w:rPr>
              <w:t>9</w:t>
            </w:r>
            <w:r w:rsidRPr="00941D7C">
              <w:rPr>
                <w:lang w:val="en-GB"/>
              </w:rPr>
              <w:t xml:space="preserve">, of undertakings with an average of more than </w:t>
            </w:r>
            <w:r w:rsidRPr="00941D7C">
              <w:rPr>
                <w:b/>
                <w:i/>
                <w:lang w:val="en-GB"/>
              </w:rPr>
              <w:t>3000</w:t>
            </w:r>
            <w:r w:rsidRPr="00941D7C">
              <w:rPr>
                <w:lang w:val="en-GB"/>
              </w:rPr>
              <w:t xml:space="preserve"> employees </w:t>
            </w:r>
            <w:r w:rsidRPr="00941D7C">
              <w:rPr>
                <w:b/>
                <w:i/>
                <w:lang w:val="en-GB"/>
              </w:rPr>
              <w:t>and a net turnover of more than EUR 450 000 000</w:t>
            </w:r>
            <w:r w:rsidRPr="00941D7C">
              <w:rPr>
                <w:lang w:val="en-GB"/>
              </w:rPr>
              <w:t xml:space="preserve"> during the financial year is indispensable to understand the transition to a climate-neutral economy. In the light of the balance to be found between the objectives of data generation and reduction of administrative burden, undertakings within the new scope for sustainability reporting should be able to disclose information referred to in Article 8 of Regulation (EU) 2020/852 in a more flexible way. The Commission should be empowered to set out rules supplementing the reporting regime for those undertakings. It should </w:t>
            </w:r>
            <w:proofErr w:type="gramStart"/>
            <w:r w:rsidRPr="00941D7C">
              <w:rPr>
                <w:lang w:val="en-GB"/>
              </w:rPr>
              <w:t>in particular be</w:t>
            </w:r>
            <w:proofErr w:type="gramEnd"/>
            <w:r w:rsidRPr="00941D7C">
              <w:rPr>
                <w:lang w:val="en-GB"/>
              </w:rPr>
              <w:t xml:space="preserve"> clarified that the Commission is empowered to specify the reporting regime for activities that are only partially taxonomy aligned.</w:t>
            </w:r>
          </w:p>
        </w:tc>
      </w:tr>
      <w:tr w:rsidR="00EE4038" w:rsidRPr="00941D7C" w14:paraId="0E5E139C" w14:textId="77777777" w:rsidTr="00EE4038">
        <w:trPr>
          <w:jc w:val="center"/>
        </w:trPr>
        <w:tc>
          <w:tcPr>
            <w:tcW w:w="4876" w:type="dxa"/>
            <w:hideMark/>
          </w:tcPr>
          <w:p w14:paraId="2CCF176F" w14:textId="77777777" w:rsidR="00EE4038" w:rsidRPr="00941D7C" w:rsidRDefault="00EE4038">
            <w:pPr>
              <w:pStyle w:val="Normal6"/>
              <w:rPr>
                <w:lang w:val="en-GB"/>
              </w:rPr>
            </w:pPr>
            <w:r w:rsidRPr="00941D7C">
              <w:rPr>
                <w:lang w:val="en-GB"/>
              </w:rPr>
              <w:t>__________________</w:t>
            </w:r>
          </w:p>
        </w:tc>
        <w:tc>
          <w:tcPr>
            <w:tcW w:w="4876" w:type="dxa"/>
            <w:hideMark/>
          </w:tcPr>
          <w:p w14:paraId="1FC2C722" w14:textId="77777777" w:rsidR="00EE4038" w:rsidRPr="00941D7C" w:rsidRDefault="00EE4038">
            <w:pPr>
              <w:pStyle w:val="Normal6"/>
              <w:rPr>
                <w:szCs w:val="24"/>
                <w:lang w:val="en-GB"/>
              </w:rPr>
            </w:pPr>
            <w:r w:rsidRPr="00941D7C">
              <w:rPr>
                <w:lang w:val="en-GB"/>
              </w:rPr>
              <w:t>__________________</w:t>
            </w:r>
          </w:p>
        </w:tc>
      </w:tr>
      <w:tr w:rsidR="00EE4038" w:rsidRPr="00941D7C" w14:paraId="52C3D505" w14:textId="77777777" w:rsidTr="00EE4038">
        <w:trPr>
          <w:jc w:val="center"/>
        </w:trPr>
        <w:tc>
          <w:tcPr>
            <w:tcW w:w="4876" w:type="dxa"/>
            <w:hideMark/>
          </w:tcPr>
          <w:p w14:paraId="4A22FA40" w14:textId="77777777" w:rsidR="00EE4038" w:rsidRPr="00941D7C" w:rsidRDefault="00EE4038">
            <w:pPr>
              <w:pStyle w:val="Normal6"/>
              <w:rPr>
                <w:lang w:val="en-GB"/>
              </w:rPr>
            </w:pPr>
            <w:r w:rsidRPr="00941D7C">
              <w:rPr>
                <w:vertAlign w:val="superscript"/>
                <w:lang w:val="en-GB"/>
              </w:rPr>
              <w:t>9</w:t>
            </w:r>
            <w:r w:rsidRPr="00941D7C">
              <w:rPr>
                <w:lang w:val="en-GB"/>
              </w:rPr>
              <w:t xml:space="preserve"> Regulation (EU) 2020/852 of the European Parliament and of the Council of 18 June 2020 on the establishment of a framework to facilitate sustainable </w:t>
            </w:r>
            <w:proofErr w:type="gramStart"/>
            <w:r w:rsidRPr="00941D7C">
              <w:rPr>
                <w:lang w:val="en-GB"/>
              </w:rPr>
              <w:t>investment, and</w:t>
            </w:r>
            <w:proofErr w:type="gramEnd"/>
            <w:r w:rsidRPr="00941D7C">
              <w:rPr>
                <w:lang w:val="en-GB"/>
              </w:rPr>
              <w:t xml:space="preserve"> amending Regulation (EU) 2019/2088 (OJ L 198, 22.6.2020, p. 13, ELI: http://data.europa.eu/eli/reg/2020/852/oj).</w:t>
            </w:r>
          </w:p>
        </w:tc>
        <w:tc>
          <w:tcPr>
            <w:tcW w:w="4876" w:type="dxa"/>
            <w:hideMark/>
          </w:tcPr>
          <w:p w14:paraId="3AE73407" w14:textId="77777777" w:rsidR="00EE4038" w:rsidRPr="00941D7C" w:rsidRDefault="00EE4038">
            <w:pPr>
              <w:pStyle w:val="Normal6"/>
              <w:rPr>
                <w:szCs w:val="24"/>
                <w:lang w:val="en-GB"/>
              </w:rPr>
            </w:pPr>
            <w:r w:rsidRPr="00941D7C">
              <w:rPr>
                <w:vertAlign w:val="superscript"/>
                <w:lang w:val="en-GB"/>
              </w:rPr>
              <w:t>9</w:t>
            </w:r>
            <w:r w:rsidRPr="00941D7C">
              <w:rPr>
                <w:lang w:val="en-GB"/>
              </w:rPr>
              <w:t xml:space="preserve"> Regulation (EU) 2020/852 of the European Parliament and of the Council of 18 June 2020 on the establishment of a framework to facilitate sustainable </w:t>
            </w:r>
            <w:proofErr w:type="gramStart"/>
            <w:r w:rsidRPr="00941D7C">
              <w:rPr>
                <w:lang w:val="en-GB"/>
              </w:rPr>
              <w:t>investment, and</w:t>
            </w:r>
            <w:proofErr w:type="gramEnd"/>
            <w:r w:rsidRPr="00941D7C">
              <w:rPr>
                <w:lang w:val="en-GB"/>
              </w:rPr>
              <w:t xml:space="preserve"> amending Regulation (EU) 2019/2088 (OJ L 198, 22.6.2020, p. 13, ELI: http://data.europa.eu/eli/reg/2020/852/oj).</w:t>
            </w:r>
          </w:p>
        </w:tc>
      </w:tr>
    </w:tbl>
    <w:p w14:paraId="3DD010E9"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72258A4A" w14:textId="77777777" w:rsidR="00EE4038" w:rsidRPr="00941D7C" w:rsidRDefault="00EE4038" w:rsidP="00EE4038">
      <w:r w:rsidRPr="00941D7C">
        <w:rPr>
          <w:rStyle w:val="HideTWBExt"/>
        </w:rPr>
        <w:t>&lt;/Amend&gt;</w:t>
      </w:r>
    </w:p>
    <w:p w14:paraId="25373C4F" w14:textId="42858C26"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4</w:t>
      </w:r>
      <w:r w:rsidRPr="00941D7C">
        <w:rPr>
          <w:rStyle w:val="HideTWBExt"/>
          <w:lang w:val="en-GB"/>
        </w:rPr>
        <w:t>&lt;/NumAm&gt;</w:t>
      </w:r>
    </w:p>
    <w:p w14:paraId="53116D41"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5E992630" w14:textId="77777777" w:rsidR="00EE4038" w:rsidRPr="00941D7C" w:rsidRDefault="00EE4038" w:rsidP="00EE4038">
      <w:pPr>
        <w:pStyle w:val="NormalBold"/>
      </w:pPr>
      <w:r w:rsidRPr="00941D7C">
        <w:rPr>
          <w:rStyle w:val="HideTWBExt"/>
        </w:rPr>
        <w:t>&lt;Article&gt;</w:t>
      </w:r>
      <w:r w:rsidRPr="00941D7C">
        <w:t>Recital 7</w:t>
      </w:r>
      <w:r w:rsidRPr="00941D7C">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1BBE90EF" w14:textId="77777777" w:rsidTr="00EE4038">
        <w:trPr>
          <w:jc w:val="center"/>
        </w:trPr>
        <w:tc>
          <w:tcPr>
            <w:tcW w:w="9752" w:type="dxa"/>
            <w:gridSpan w:val="2"/>
          </w:tcPr>
          <w:p w14:paraId="345AD588" w14:textId="77777777" w:rsidR="00EE4038" w:rsidRPr="00941D7C" w:rsidRDefault="00EE4038">
            <w:pPr>
              <w:keepNext/>
            </w:pPr>
          </w:p>
        </w:tc>
      </w:tr>
      <w:tr w:rsidR="00EE4038" w:rsidRPr="00941D7C" w14:paraId="14E1325E" w14:textId="77777777" w:rsidTr="00EE4038">
        <w:trPr>
          <w:jc w:val="center"/>
        </w:trPr>
        <w:tc>
          <w:tcPr>
            <w:tcW w:w="4876" w:type="dxa"/>
            <w:hideMark/>
          </w:tcPr>
          <w:p w14:paraId="78CAE215"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1A5047DA" w14:textId="77777777" w:rsidR="00EE4038" w:rsidRPr="00941D7C" w:rsidRDefault="00EE4038">
            <w:pPr>
              <w:pStyle w:val="ColumnHeading"/>
              <w:keepNext/>
              <w:rPr>
                <w:lang w:val="en-GB"/>
              </w:rPr>
            </w:pPr>
            <w:r w:rsidRPr="00941D7C">
              <w:rPr>
                <w:lang w:val="en-GB"/>
              </w:rPr>
              <w:t>Amendment</w:t>
            </w:r>
          </w:p>
        </w:tc>
      </w:tr>
      <w:tr w:rsidR="00EE4038" w:rsidRPr="00941D7C" w14:paraId="0E79C37C" w14:textId="77777777" w:rsidTr="00EE4038">
        <w:trPr>
          <w:jc w:val="center"/>
        </w:trPr>
        <w:tc>
          <w:tcPr>
            <w:tcW w:w="4876" w:type="dxa"/>
            <w:hideMark/>
          </w:tcPr>
          <w:p w14:paraId="1E55EE28" w14:textId="77777777" w:rsidR="00EE4038" w:rsidRPr="00941D7C" w:rsidRDefault="00EE4038">
            <w:pPr>
              <w:pStyle w:val="Normal6"/>
              <w:rPr>
                <w:lang w:val="en-GB"/>
              </w:rPr>
            </w:pPr>
            <w:r w:rsidRPr="00941D7C">
              <w:rPr>
                <w:lang w:val="en-GB"/>
              </w:rPr>
              <w:t>(7)</w:t>
            </w:r>
            <w:r w:rsidRPr="00941D7C">
              <w:rPr>
                <w:lang w:val="en-GB"/>
              </w:rPr>
              <w:tab/>
              <w:t xml:space="preserve">Article 1(3) of Directive 2013/34/EU specifies that credit institutions and insurance undertakings that are large undertakings or small and medium-size undertakings – excluding micro-undertakings – with securities admitted to trading on an EU regulated market are subject to the sustainability reporting requirements set out in that Directive, regardless of their legal form. Considering that the scope of individual sustainability reporting should be reduced to </w:t>
            </w:r>
            <w:r w:rsidRPr="00941D7C">
              <w:rPr>
                <w:b/>
                <w:i/>
                <w:lang w:val="en-GB"/>
              </w:rPr>
              <w:t>large</w:t>
            </w:r>
            <w:r w:rsidRPr="00941D7C">
              <w:rPr>
                <w:lang w:val="en-GB"/>
              </w:rPr>
              <w:t xml:space="preserve"> undertakings with an average of more than </w:t>
            </w:r>
            <w:r w:rsidRPr="00941D7C">
              <w:rPr>
                <w:b/>
                <w:i/>
                <w:lang w:val="en-GB"/>
              </w:rPr>
              <w:t>1000</w:t>
            </w:r>
            <w:r w:rsidRPr="00941D7C">
              <w:rPr>
                <w:lang w:val="en-GB"/>
              </w:rPr>
              <w:t xml:space="preserve"> employees during the financial year, that reduction in scope should also apply to credit institutions and insurance undertakings.</w:t>
            </w:r>
          </w:p>
        </w:tc>
        <w:tc>
          <w:tcPr>
            <w:tcW w:w="4876" w:type="dxa"/>
            <w:hideMark/>
          </w:tcPr>
          <w:p w14:paraId="619E3C3C" w14:textId="761A54DF" w:rsidR="00EE4038" w:rsidRPr="00941D7C" w:rsidRDefault="00EE4038" w:rsidP="006A06F5">
            <w:pPr>
              <w:pStyle w:val="Normal6"/>
              <w:rPr>
                <w:szCs w:val="24"/>
                <w:lang w:val="en-GB"/>
              </w:rPr>
            </w:pPr>
            <w:r w:rsidRPr="00941D7C">
              <w:rPr>
                <w:lang w:val="en-GB"/>
              </w:rPr>
              <w:t>(7)</w:t>
            </w:r>
            <w:r w:rsidRPr="00941D7C">
              <w:rPr>
                <w:lang w:val="en-GB"/>
              </w:rPr>
              <w:tab/>
              <w:t xml:space="preserve">Article 1(3) of Directive 2013/34/EU specifies that credit institutions and insurance undertakings that are large undertakings or small and medium-size undertakings – excluding micro-undertakings – with securities admitted to trading on an EU regulated market are subject to the sustainability reporting requirements set out in that Directive, regardless of their legal form. Considering that the scope of individual sustainability reporting should be reduced to undertakings with an average of more than </w:t>
            </w:r>
            <w:r w:rsidRPr="00941D7C">
              <w:rPr>
                <w:b/>
                <w:i/>
                <w:lang w:val="en-GB"/>
              </w:rPr>
              <w:t>3000</w:t>
            </w:r>
            <w:r w:rsidRPr="00941D7C">
              <w:rPr>
                <w:lang w:val="en-GB"/>
              </w:rPr>
              <w:t xml:space="preserve"> employees </w:t>
            </w:r>
            <w:r w:rsidRPr="00941D7C">
              <w:rPr>
                <w:b/>
                <w:i/>
                <w:lang w:val="en-GB"/>
              </w:rPr>
              <w:t>and a net turnover of more than EUR 450 000 000</w:t>
            </w:r>
            <w:r w:rsidRPr="00941D7C">
              <w:rPr>
                <w:lang w:val="en-GB"/>
              </w:rPr>
              <w:t xml:space="preserve"> during the financial year, that reduction in scope should also apply to credit institutions and insurance undertakings. </w:t>
            </w:r>
            <w:r w:rsidRPr="00941D7C">
              <w:rPr>
                <w:b/>
                <w:i/>
                <w:lang w:val="en-GB"/>
              </w:rPr>
              <w:t xml:space="preserve">Moreover, and </w:t>
            </w:r>
            <w:proofErr w:type="gramStart"/>
            <w:r w:rsidRPr="00941D7C">
              <w:rPr>
                <w:b/>
                <w:i/>
                <w:lang w:val="en-GB"/>
              </w:rPr>
              <w:t>in order to</w:t>
            </w:r>
            <w:proofErr w:type="gramEnd"/>
            <w:r w:rsidRPr="00941D7C">
              <w:rPr>
                <w:b/>
                <w:i/>
                <w:lang w:val="en-GB"/>
              </w:rPr>
              <w:t xml:space="preserve"> ensure a level</w:t>
            </w:r>
            <w:r w:rsidR="005D3964" w:rsidRPr="00941D7C">
              <w:rPr>
                <w:b/>
                <w:i/>
                <w:lang w:val="en-GB"/>
              </w:rPr>
              <w:t xml:space="preserve"> </w:t>
            </w:r>
            <w:r w:rsidRPr="00941D7C">
              <w:rPr>
                <w:b/>
                <w:i/>
                <w:lang w:val="en-GB"/>
              </w:rPr>
              <w:t xml:space="preserve">playing field, the applicable thresholds should not differ </w:t>
            </w:r>
            <w:r w:rsidR="005D3964" w:rsidRPr="00941D7C">
              <w:rPr>
                <w:b/>
                <w:i/>
                <w:lang w:val="en-GB"/>
              </w:rPr>
              <w:t xml:space="preserve">based on </w:t>
            </w:r>
            <w:r w:rsidRPr="00941D7C">
              <w:rPr>
                <w:b/>
                <w:i/>
                <w:lang w:val="en-GB"/>
              </w:rPr>
              <w:t>whether undertakings are established in or outside the Union.</w:t>
            </w:r>
            <w:r w:rsidRPr="00941D7C">
              <w:rPr>
                <w:lang w:val="en-GB"/>
              </w:rPr>
              <w:t xml:space="preserve"> </w:t>
            </w:r>
          </w:p>
        </w:tc>
      </w:tr>
    </w:tbl>
    <w:p w14:paraId="704D1EEC"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59A82A63" w14:textId="77777777" w:rsidR="00EE4038" w:rsidRPr="00941D7C" w:rsidRDefault="00EE4038" w:rsidP="00EE4038">
      <w:r w:rsidRPr="00941D7C">
        <w:rPr>
          <w:rStyle w:val="HideTWBExt"/>
        </w:rPr>
        <w:t>&lt;/Amend&gt;</w:t>
      </w:r>
    </w:p>
    <w:p w14:paraId="236EEC1D" w14:textId="6B36F402"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5</w:t>
      </w:r>
      <w:r w:rsidRPr="00941D7C">
        <w:rPr>
          <w:rStyle w:val="HideTWBExt"/>
          <w:lang w:val="en-GB"/>
        </w:rPr>
        <w:t>&lt;/NumAm&gt;</w:t>
      </w:r>
    </w:p>
    <w:p w14:paraId="7164C755"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42400DED" w14:textId="77777777" w:rsidR="00EE4038" w:rsidRPr="00941D7C" w:rsidRDefault="00EE4038" w:rsidP="00EE4038">
      <w:pPr>
        <w:pStyle w:val="NormalBold"/>
      </w:pPr>
      <w:r w:rsidRPr="00941D7C">
        <w:rPr>
          <w:rStyle w:val="HideTWBExt"/>
        </w:rPr>
        <w:t>&lt;Article&gt;</w:t>
      </w:r>
      <w:r w:rsidRPr="00941D7C">
        <w:t>Recital 9</w:t>
      </w:r>
      <w:r w:rsidRPr="00941D7C">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2A3489B5" w14:textId="77777777" w:rsidTr="00EE4038">
        <w:trPr>
          <w:jc w:val="center"/>
        </w:trPr>
        <w:tc>
          <w:tcPr>
            <w:tcW w:w="9752" w:type="dxa"/>
            <w:gridSpan w:val="2"/>
          </w:tcPr>
          <w:p w14:paraId="2E63154A" w14:textId="77777777" w:rsidR="00EE4038" w:rsidRPr="00941D7C" w:rsidRDefault="00EE4038">
            <w:pPr>
              <w:keepNext/>
            </w:pPr>
          </w:p>
        </w:tc>
      </w:tr>
      <w:tr w:rsidR="00EE4038" w:rsidRPr="00941D7C" w14:paraId="21A21685" w14:textId="77777777" w:rsidTr="00EE4038">
        <w:trPr>
          <w:jc w:val="center"/>
        </w:trPr>
        <w:tc>
          <w:tcPr>
            <w:tcW w:w="4876" w:type="dxa"/>
            <w:hideMark/>
          </w:tcPr>
          <w:p w14:paraId="3C93A5B8"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074949D5" w14:textId="77777777" w:rsidR="00EE4038" w:rsidRPr="00941D7C" w:rsidRDefault="00EE4038">
            <w:pPr>
              <w:pStyle w:val="ColumnHeading"/>
              <w:keepNext/>
              <w:rPr>
                <w:lang w:val="en-GB"/>
              </w:rPr>
            </w:pPr>
            <w:r w:rsidRPr="00941D7C">
              <w:rPr>
                <w:lang w:val="en-GB"/>
              </w:rPr>
              <w:t>Amendment</w:t>
            </w:r>
          </w:p>
        </w:tc>
      </w:tr>
      <w:tr w:rsidR="00EE4038" w:rsidRPr="00941D7C" w14:paraId="30CC42C9" w14:textId="77777777" w:rsidTr="00EE4038">
        <w:trPr>
          <w:jc w:val="center"/>
        </w:trPr>
        <w:tc>
          <w:tcPr>
            <w:tcW w:w="4876" w:type="dxa"/>
            <w:hideMark/>
          </w:tcPr>
          <w:p w14:paraId="6246B140" w14:textId="77777777" w:rsidR="00EE4038" w:rsidRPr="00941D7C" w:rsidRDefault="00EE4038">
            <w:pPr>
              <w:pStyle w:val="Normal6"/>
              <w:rPr>
                <w:lang w:val="en-GB"/>
              </w:rPr>
            </w:pPr>
            <w:r w:rsidRPr="00941D7C">
              <w:rPr>
                <w:lang w:val="en-GB"/>
              </w:rPr>
              <w:t>(9)</w:t>
            </w:r>
            <w:r w:rsidRPr="00941D7C">
              <w:rPr>
                <w:lang w:val="en-GB"/>
              </w:rPr>
              <w:tab/>
              <w:t>Article 19</w:t>
            </w:r>
            <w:proofErr w:type="gramStart"/>
            <w:r w:rsidRPr="00941D7C">
              <w:rPr>
                <w:lang w:val="en-GB"/>
              </w:rPr>
              <w:t>a(</w:t>
            </w:r>
            <w:proofErr w:type="gramEnd"/>
            <w:r w:rsidRPr="00941D7C">
              <w:rPr>
                <w:lang w:val="en-GB"/>
              </w:rPr>
              <w:t xml:space="preserve">3) of Directive 2013/34/EU requires undertakings to report information about the undertaking’s own operations and about its value chain. It is necessary to reduce the reporting burden for undertakings in the </w:t>
            </w:r>
            <w:r w:rsidRPr="00941D7C">
              <w:rPr>
                <w:b/>
                <w:i/>
                <w:lang w:val="en-GB"/>
              </w:rPr>
              <w:t>value</w:t>
            </w:r>
            <w:r w:rsidRPr="00941D7C">
              <w:rPr>
                <w:lang w:val="en-GB"/>
              </w:rPr>
              <w:t xml:space="preserve"> chain that are not required to report on their sustainability. The reporting undertaking, for the purposes of reporting sustainability information at individual or at consolidated level, as required by Directive 2013/34/EU, and without prejudice to Union requirements to conduct a due diligence process, should therefore not seek to obtain from undertakings established in or outside of the Union in its </w:t>
            </w:r>
            <w:r w:rsidRPr="00941D7C">
              <w:rPr>
                <w:b/>
                <w:i/>
                <w:lang w:val="en-GB"/>
              </w:rPr>
              <w:t>value</w:t>
            </w:r>
            <w:r w:rsidRPr="00941D7C">
              <w:rPr>
                <w:lang w:val="en-GB"/>
              </w:rPr>
              <w:t xml:space="preserve"> chain that have up to </w:t>
            </w:r>
            <w:r w:rsidRPr="00941D7C">
              <w:rPr>
                <w:b/>
                <w:i/>
                <w:lang w:val="en-GB"/>
              </w:rPr>
              <w:t>1000</w:t>
            </w:r>
            <w:r w:rsidRPr="00941D7C">
              <w:rPr>
                <w:lang w:val="en-GB"/>
              </w:rPr>
              <w:t xml:space="preserve"> employees on average during the financial year any information that goes beyond the information specified in the standards for voluntary use by undertakings that are not required to report on their sustainability. The reporting undertaking should, however, be allowed to collect from such undertakings in its </w:t>
            </w:r>
            <w:r w:rsidRPr="00941D7C">
              <w:rPr>
                <w:b/>
                <w:i/>
                <w:lang w:val="en-GB"/>
              </w:rPr>
              <w:t>value</w:t>
            </w:r>
            <w:r w:rsidRPr="00941D7C">
              <w:rPr>
                <w:lang w:val="en-GB"/>
              </w:rPr>
              <w:t xml:space="preserve"> chain any additional sustainability information that is commonly shared between undertakings in the sector concerned. Undertakings reporting on their </w:t>
            </w:r>
            <w:r w:rsidRPr="00941D7C">
              <w:rPr>
                <w:b/>
                <w:i/>
                <w:lang w:val="en-GB"/>
              </w:rPr>
              <w:t>value</w:t>
            </w:r>
            <w:r w:rsidRPr="00941D7C">
              <w:rPr>
                <w:lang w:val="en-GB"/>
              </w:rPr>
              <w:t xml:space="preserve"> chain in accordance with those limitations should be deemed to comply with the obligation to report on their sustainability. Assurance providers should prepare their assurance opinion respecting the obligation on undertakings not to seek to obtain from undertakings in their </w:t>
            </w:r>
            <w:r w:rsidRPr="00941D7C">
              <w:rPr>
                <w:b/>
                <w:i/>
                <w:lang w:val="en-GB"/>
              </w:rPr>
              <w:t>value</w:t>
            </w:r>
            <w:r w:rsidRPr="00941D7C">
              <w:rPr>
                <w:lang w:val="en-GB"/>
              </w:rPr>
              <w:t xml:space="preserve"> chain that have up to </w:t>
            </w:r>
            <w:r w:rsidRPr="00941D7C">
              <w:rPr>
                <w:b/>
                <w:i/>
                <w:lang w:val="en-GB"/>
              </w:rPr>
              <w:t>1000</w:t>
            </w:r>
            <w:r w:rsidRPr="00941D7C">
              <w:rPr>
                <w:lang w:val="en-GB"/>
              </w:rPr>
              <w:t xml:space="preserve"> employees on average during the financial year any information that goes beyond the information specified in the standards for voluntary use by undertakings that are not required to report on their sustainability. For that purpose, the Commission should be empowered to adopt a delegated act to provide for sustainability reporting standards for voluntary use by undertakings that are not required to report on their sustainability. Those standards should be proportionate to, and relevant for, the capacities and the characteristics of those undertakings and to the scale and complexity of their activities. Those standards should also specify, where possible, the structure to be used to present that information.</w:t>
            </w:r>
          </w:p>
        </w:tc>
        <w:tc>
          <w:tcPr>
            <w:tcW w:w="4876" w:type="dxa"/>
            <w:hideMark/>
          </w:tcPr>
          <w:p w14:paraId="4D0AC249" w14:textId="58D53669" w:rsidR="00EE4038" w:rsidRPr="00941D7C" w:rsidRDefault="00EE4038" w:rsidP="006A06F5">
            <w:pPr>
              <w:pStyle w:val="Normal6"/>
              <w:rPr>
                <w:szCs w:val="24"/>
                <w:lang w:val="en-GB"/>
              </w:rPr>
            </w:pPr>
            <w:r w:rsidRPr="00941D7C">
              <w:rPr>
                <w:lang w:val="en-GB"/>
              </w:rPr>
              <w:t>(9)</w:t>
            </w:r>
            <w:r w:rsidRPr="00941D7C">
              <w:rPr>
                <w:lang w:val="en-GB"/>
              </w:rPr>
              <w:tab/>
              <w:t>Article 19</w:t>
            </w:r>
            <w:proofErr w:type="gramStart"/>
            <w:r w:rsidRPr="00941D7C">
              <w:rPr>
                <w:lang w:val="en-GB"/>
              </w:rPr>
              <w:t>a(</w:t>
            </w:r>
            <w:proofErr w:type="gramEnd"/>
            <w:r w:rsidRPr="00941D7C">
              <w:rPr>
                <w:lang w:val="en-GB"/>
              </w:rPr>
              <w:t xml:space="preserve">3) of Directive 2013/34/EU requires undertakings to report information about the undertaking’s own operations and about its value chain. </w:t>
            </w:r>
            <w:r w:rsidRPr="00941D7C">
              <w:rPr>
                <w:b/>
                <w:i/>
                <w:lang w:val="en-GB"/>
              </w:rPr>
              <w:t xml:space="preserve">To reach closer alignment with the criteria used to define the terminology used in Directive (EU) 2024/1760, the notion of ‘value chain’ should be replaced by ‘chain of </w:t>
            </w:r>
            <w:proofErr w:type="gramStart"/>
            <w:r w:rsidRPr="00941D7C">
              <w:rPr>
                <w:b/>
                <w:i/>
                <w:lang w:val="en-GB"/>
              </w:rPr>
              <w:t>activities’</w:t>
            </w:r>
            <w:proofErr w:type="gramEnd"/>
            <w:r w:rsidRPr="00941D7C">
              <w:rPr>
                <w:b/>
                <w:i/>
                <w:lang w:val="en-GB"/>
              </w:rPr>
              <w:t>.</w:t>
            </w:r>
            <w:r w:rsidRPr="00941D7C">
              <w:rPr>
                <w:lang w:val="en-GB"/>
              </w:rPr>
              <w:t xml:space="preserve"> It is necessary to reduce the reporting burden for undertakings in the chain </w:t>
            </w:r>
            <w:r w:rsidRPr="00941D7C">
              <w:rPr>
                <w:b/>
                <w:i/>
                <w:lang w:val="en-GB"/>
              </w:rPr>
              <w:t>of activities</w:t>
            </w:r>
            <w:r w:rsidRPr="00941D7C">
              <w:rPr>
                <w:lang w:val="en-GB"/>
              </w:rPr>
              <w:t xml:space="preserve"> that are not required to report on their sustainability. The reporting undertaking, for the purposes of reporting sustainability information at individual or at consolidated level, as required by Directive 2013/34/EU, and without prejudice to Union requirements to conduct a due diligence process, should therefore not seek to obtain from undertakings established in or outside of the Union in its chain </w:t>
            </w:r>
            <w:r w:rsidRPr="00941D7C">
              <w:rPr>
                <w:b/>
                <w:i/>
                <w:lang w:val="en-GB"/>
              </w:rPr>
              <w:t>of activities</w:t>
            </w:r>
            <w:r w:rsidRPr="00941D7C">
              <w:rPr>
                <w:lang w:val="en-GB"/>
              </w:rPr>
              <w:t xml:space="preserve"> that have up to </w:t>
            </w:r>
            <w:r w:rsidRPr="00941D7C">
              <w:rPr>
                <w:b/>
                <w:i/>
                <w:lang w:val="en-GB"/>
              </w:rPr>
              <w:t>3000</w:t>
            </w:r>
            <w:r w:rsidRPr="00941D7C">
              <w:rPr>
                <w:lang w:val="en-GB"/>
              </w:rPr>
              <w:t xml:space="preserve"> employees </w:t>
            </w:r>
            <w:r w:rsidRPr="00941D7C">
              <w:rPr>
                <w:b/>
                <w:i/>
                <w:lang w:val="en-GB"/>
              </w:rPr>
              <w:t>and a net turnover of up to EUR 450 000 000</w:t>
            </w:r>
            <w:r w:rsidRPr="00941D7C">
              <w:rPr>
                <w:lang w:val="en-GB"/>
              </w:rPr>
              <w:t xml:space="preserve"> on average during the financial year any information that goes beyond the information specified in the standards for voluntary use by undertakings that are not required to report on their sustainability. The reporting undertaking should, however, be allowed to collect from such undertakings in its chain </w:t>
            </w:r>
            <w:r w:rsidRPr="00941D7C">
              <w:rPr>
                <w:b/>
                <w:i/>
                <w:lang w:val="en-GB"/>
              </w:rPr>
              <w:t>of activities</w:t>
            </w:r>
            <w:r w:rsidRPr="00941D7C">
              <w:rPr>
                <w:lang w:val="en-GB"/>
              </w:rPr>
              <w:t xml:space="preserve"> any additional sustainability information that is commonly shared between undertakings in the sector concerned. </w:t>
            </w:r>
            <w:r w:rsidRPr="00941D7C">
              <w:rPr>
                <w:b/>
                <w:i/>
                <w:lang w:val="en-GB"/>
              </w:rPr>
              <w:t>Where not all the necessary information regarding their chain of activities is available, or such information is incomplete or subject to legal limitations, the undertakings should be allowed, without any time limitation, to explain the efforts made to obtain the necessary information about their chain of activities, the reasons why that information could not be obtained, and their plans to obtain such information in the future.</w:t>
            </w:r>
            <w:r w:rsidRPr="00941D7C">
              <w:rPr>
                <w:lang w:val="en-GB"/>
              </w:rPr>
              <w:t xml:space="preserve"> Undertakings reporting on their chain </w:t>
            </w:r>
            <w:r w:rsidRPr="00941D7C">
              <w:rPr>
                <w:b/>
                <w:i/>
                <w:lang w:val="en-GB"/>
              </w:rPr>
              <w:t>of activities</w:t>
            </w:r>
            <w:r w:rsidRPr="00941D7C">
              <w:rPr>
                <w:lang w:val="en-GB"/>
              </w:rPr>
              <w:t xml:space="preserve"> in accordance with those limitations should be deemed to comply with the obligation to report on their sustainability. Assurance providers should prepare their assurance opinion respecting the obligation on undertakings not to seek to obtain from undertakings in their chain </w:t>
            </w:r>
            <w:r w:rsidRPr="00941D7C">
              <w:rPr>
                <w:b/>
                <w:i/>
                <w:lang w:val="en-GB"/>
              </w:rPr>
              <w:t>of activities</w:t>
            </w:r>
            <w:r w:rsidRPr="00941D7C">
              <w:rPr>
                <w:lang w:val="en-GB"/>
              </w:rPr>
              <w:t xml:space="preserve"> that have up to </w:t>
            </w:r>
            <w:r w:rsidRPr="00941D7C">
              <w:rPr>
                <w:b/>
                <w:i/>
                <w:lang w:val="en-GB"/>
              </w:rPr>
              <w:t>3000</w:t>
            </w:r>
            <w:r w:rsidRPr="00941D7C">
              <w:rPr>
                <w:lang w:val="en-GB"/>
              </w:rPr>
              <w:t xml:space="preserve"> employees </w:t>
            </w:r>
            <w:r w:rsidRPr="00941D7C">
              <w:rPr>
                <w:b/>
                <w:i/>
                <w:lang w:val="en-GB"/>
              </w:rPr>
              <w:t>and a net turnover of up to EUR 450 000 000</w:t>
            </w:r>
            <w:r w:rsidRPr="00941D7C">
              <w:rPr>
                <w:lang w:val="en-GB"/>
              </w:rPr>
              <w:t xml:space="preserve"> on average during the financial year any information that goes beyond the information specified in the standards for voluntary use by undertakings that are not required to report on their sustainability. For that purpose, the Commission should be empowered to adopt a delegated act to provide for sustainability reporting standards for voluntary use by undertakings that are not required to report on their sustainability. Those standards should be proportionate to, and relevant for, the capacities and the characteristics of those undertakings and to the scale and complexity of their activities</w:t>
            </w:r>
            <w:r w:rsidR="005D3964" w:rsidRPr="00941D7C">
              <w:rPr>
                <w:b/>
                <w:i/>
                <w:lang w:val="en-GB"/>
              </w:rPr>
              <w:t xml:space="preserve">. Those standards should </w:t>
            </w:r>
            <w:r w:rsidRPr="00941D7C">
              <w:rPr>
                <w:b/>
                <w:i/>
                <w:lang w:val="en-GB"/>
              </w:rPr>
              <w:t xml:space="preserve">also effectively contribute to the undertakings’ compliance </w:t>
            </w:r>
            <w:r w:rsidR="005D3964" w:rsidRPr="00941D7C">
              <w:rPr>
                <w:b/>
                <w:i/>
                <w:lang w:val="en-GB"/>
              </w:rPr>
              <w:t xml:space="preserve">with </w:t>
            </w:r>
            <w:r w:rsidRPr="00941D7C">
              <w:rPr>
                <w:b/>
                <w:i/>
                <w:lang w:val="en-GB"/>
              </w:rPr>
              <w:t>their reporting obligations</w:t>
            </w:r>
            <w:r w:rsidRPr="00941D7C">
              <w:rPr>
                <w:lang w:val="en-GB"/>
              </w:rPr>
              <w:t>. Those standards should also specify, where possible, the structure to be used to present that information.</w:t>
            </w:r>
          </w:p>
        </w:tc>
      </w:tr>
    </w:tbl>
    <w:p w14:paraId="272AF1D0"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358B7568" w14:textId="77777777" w:rsidR="00EE4038" w:rsidRPr="00941D7C" w:rsidRDefault="00EE4038" w:rsidP="00EE4038">
      <w:r w:rsidRPr="00941D7C">
        <w:rPr>
          <w:rStyle w:val="HideTWBExt"/>
        </w:rPr>
        <w:t>&lt;/Amend&gt;</w:t>
      </w:r>
    </w:p>
    <w:p w14:paraId="4223DD24" w14:textId="06954D50"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6</w:t>
      </w:r>
      <w:r w:rsidRPr="00941D7C">
        <w:rPr>
          <w:rStyle w:val="HideTWBExt"/>
          <w:lang w:val="en-GB"/>
        </w:rPr>
        <w:t>&lt;/NumAm&gt;</w:t>
      </w:r>
    </w:p>
    <w:p w14:paraId="74E7770E"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6ECF5124" w14:textId="77777777" w:rsidR="00EE4038" w:rsidRPr="00941D7C" w:rsidRDefault="00EE4038" w:rsidP="00EE4038">
      <w:pPr>
        <w:pStyle w:val="NormalBold"/>
      </w:pPr>
      <w:r w:rsidRPr="00941D7C">
        <w:rPr>
          <w:rStyle w:val="HideTWBExt"/>
        </w:rPr>
        <w:t>&lt;Article&gt;</w:t>
      </w:r>
      <w:r w:rsidRPr="00941D7C">
        <w:t>Recital 9 a (new)</w:t>
      </w:r>
      <w:r w:rsidRPr="00941D7C">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2583DD84" w14:textId="77777777" w:rsidTr="00EE4038">
        <w:trPr>
          <w:jc w:val="center"/>
        </w:trPr>
        <w:tc>
          <w:tcPr>
            <w:tcW w:w="9752" w:type="dxa"/>
            <w:gridSpan w:val="2"/>
          </w:tcPr>
          <w:p w14:paraId="2268B210" w14:textId="77777777" w:rsidR="00EE4038" w:rsidRPr="00941D7C" w:rsidRDefault="00EE4038">
            <w:pPr>
              <w:keepNext/>
            </w:pPr>
          </w:p>
        </w:tc>
      </w:tr>
      <w:tr w:rsidR="00EE4038" w:rsidRPr="00941D7C" w14:paraId="72A58303" w14:textId="77777777" w:rsidTr="00EE4038">
        <w:trPr>
          <w:jc w:val="center"/>
        </w:trPr>
        <w:tc>
          <w:tcPr>
            <w:tcW w:w="4876" w:type="dxa"/>
            <w:hideMark/>
          </w:tcPr>
          <w:p w14:paraId="4ED5D24A"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7BF149B4" w14:textId="77777777" w:rsidR="00EE4038" w:rsidRPr="00941D7C" w:rsidRDefault="00EE4038">
            <w:pPr>
              <w:pStyle w:val="ColumnHeading"/>
              <w:keepNext/>
              <w:rPr>
                <w:lang w:val="en-GB"/>
              </w:rPr>
            </w:pPr>
            <w:r w:rsidRPr="00941D7C">
              <w:rPr>
                <w:lang w:val="en-GB"/>
              </w:rPr>
              <w:t>Amendment</w:t>
            </w:r>
          </w:p>
        </w:tc>
      </w:tr>
      <w:tr w:rsidR="00EE4038" w:rsidRPr="00941D7C" w14:paraId="74BDA42E" w14:textId="77777777" w:rsidTr="00EE4038">
        <w:trPr>
          <w:jc w:val="center"/>
        </w:trPr>
        <w:tc>
          <w:tcPr>
            <w:tcW w:w="4876" w:type="dxa"/>
          </w:tcPr>
          <w:p w14:paraId="529FF769" w14:textId="77777777" w:rsidR="00EE4038" w:rsidRPr="00941D7C" w:rsidRDefault="00EE4038">
            <w:pPr>
              <w:pStyle w:val="Normal6"/>
              <w:rPr>
                <w:lang w:val="en-GB"/>
              </w:rPr>
            </w:pPr>
          </w:p>
        </w:tc>
        <w:tc>
          <w:tcPr>
            <w:tcW w:w="4876" w:type="dxa"/>
            <w:hideMark/>
          </w:tcPr>
          <w:p w14:paraId="5DE35195" w14:textId="765738C6" w:rsidR="00EE4038" w:rsidRPr="00941D7C" w:rsidRDefault="00EE4038" w:rsidP="003C62C4">
            <w:pPr>
              <w:pStyle w:val="Normal6"/>
              <w:rPr>
                <w:szCs w:val="24"/>
                <w:lang w:val="en-GB"/>
              </w:rPr>
            </w:pPr>
            <w:r w:rsidRPr="00941D7C">
              <w:rPr>
                <w:b/>
                <w:i/>
                <w:lang w:val="en-GB"/>
              </w:rPr>
              <w:t>(9a)</w:t>
            </w:r>
            <w:r w:rsidRPr="00941D7C">
              <w:rPr>
                <w:b/>
                <w:i/>
                <w:lang w:val="en-GB"/>
              </w:rPr>
              <w:tab/>
              <w:t>Article 19</w:t>
            </w:r>
            <w:proofErr w:type="gramStart"/>
            <w:r w:rsidRPr="00941D7C">
              <w:rPr>
                <w:b/>
                <w:i/>
                <w:lang w:val="en-GB"/>
              </w:rPr>
              <w:t>a(</w:t>
            </w:r>
            <w:proofErr w:type="gramEnd"/>
            <w:r w:rsidRPr="00941D7C">
              <w:rPr>
                <w:b/>
                <w:i/>
                <w:lang w:val="en-GB"/>
              </w:rPr>
              <w:t>2)</w:t>
            </w:r>
            <w:r w:rsidR="005D3964" w:rsidRPr="00941D7C">
              <w:rPr>
                <w:b/>
                <w:i/>
                <w:lang w:val="en-GB"/>
              </w:rPr>
              <w:t>, point </w:t>
            </w:r>
            <w:r w:rsidRPr="00941D7C">
              <w:rPr>
                <w:b/>
                <w:i/>
                <w:lang w:val="en-GB"/>
              </w:rPr>
              <w:t>(a)(iii)</w:t>
            </w:r>
            <w:r w:rsidR="005D3964" w:rsidRPr="00941D7C">
              <w:rPr>
                <w:b/>
                <w:i/>
                <w:lang w:val="en-GB"/>
              </w:rPr>
              <w:t>,</w:t>
            </w:r>
            <w:r w:rsidRPr="00941D7C">
              <w:rPr>
                <w:b/>
                <w:i/>
                <w:lang w:val="en-GB"/>
              </w:rPr>
              <w:t xml:space="preserve"> and Article 29a(2)</w:t>
            </w:r>
            <w:r w:rsidR="005D3964" w:rsidRPr="00941D7C">
              <w:rPr>
                <w:b/>
                <w:i/>
                <w:lang w:val="en-GB"/>
              </w:rPr>
              <w:t>, point </w:t>
            </w:r>
            <w:r w:rsidRPr="00941D7C">
              <w:rPr>
                <w:b/>
                <w:i/>
                <w:lang w:val="en-GB"/>
              </w:rPr>
              <w:t>(a)(iii)</w:t>
            </w:r>
            <w:r w:rsidR="005D3964" w:rsidRPr="00941D7C">
              <w:rPr>
                <w:b/>
                <w:i/>
                <w:lang w:val="en-GB"/>
              </w:rPr>
              <w:t>,</w:t>
            </w:r>
            <w:r w:rsidRPr="00941D7C">
              <w:rPr>
                <w:b/>
                <w:i/>
                <w:lang w:val="en-GB"/>
              </w:rPr>
              <w:t xml:space="preserve"> of Directive 2013/34/EU require undertakings and groups to </w:t>
            </w:r>
            <w:r w:rsidR="005D3964" w:rsidRPr="00941D7C">
              <w:rPr>
                <w:b/>
                <w:i/>
                <w:lang w:val="en-GB"/>
              </w:rPr>
              <w:t xml:space="preserve">include </w:t>
            </w:r>
            <w:r w:rsidRPr="00941D7C">
              <w:rPr>
                <w:b/>
                <w:i/>
                <w:lang w:val="en-GB"/>
              </w:rPr>
              <w:t xml:space="preserve">in their management reports and consolidated management reports, respectively, their climate transition plans. </w:t>
            </w:r>
            <w:proofErr w:type="gramStart"/>
            <w:r w:rsidRPr="00941D7C">
              <w:rPr>
                <w:b/>
                <w:i/>
                <w:lang w:val="en-GB"/>
              </w:rPr>
              <w:t>In order to</w:t>
            </w:r>
            <w:proofErr w:type="gramEnd"/>
            <w:r w:rsidRPr="00941D7C">
              <w:rPr>
                <w:b/>
                <w:i/>
                <w:lang w:val="en-GB"/>
              </w:rPr>
              <w:t xml:space="preserve"> avoid disproportionately burdensome requirements, on the one hand, but allow for transparency as regards </w:t>
            </w:r>
            <w:r w:rsidR="005D3964" w:rsidRPr="00941D7C">
              <w:rPr>
                <w:b/>
                <w:i/>
                <w:lang w:val="en-GB"/>
              </w:rPr>
              <w:t xml:space="preserve">the </w:t>
            </w:r>
            <w:r w:rsidRPr="00941D7C">
              <w:rPr>
                <w:b/>
                <w:i/>
                <w:lang w:val="en-GB"/>
              </w:rPr>
              <w:t xml:space="preserve">transition to </w:t>
            </w:r>
            <w:r w:rsidR="005D3964" w:rsidRPr="00941D7C">
              <w:rPr>
                <w:b/>
                <w:i/>
                <w:lang w:val="en-GB"/>
              </w:rPr>
              <w:t xml:space="preserve">a </w:t>
            </w:r>
            <w:r w:rsidRPr="00941D7C">
              <w:rPr>
                <w:b/>
                <w:i/>
                <w:lang w:val="en-GB"/>
              </w:rPr>
              <w:t>sustainable economy, on the other hand, undertakings should include in their management report information on any transition plans they have, if any.</w:t>
            </w:r>
          </w:p>
        </w:tc>
      </w:tr>
    </w:tbl>
    <w:p w14:paraId="2A507DDC"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6CF93237" w14:textId="77777777" w:rsidR="00EE4038" w:rsidRPr="00941D7C" w:rsidRDefault="00EE4038" w:rsidP="00EE4038">
      <w:r w:rsidRPr="00941D7C">
        <w:rPr>
          <w:rStyle w:val="HideTWBExt"/>
        </w:rPr>
        <w:t>&lt;/Amend&gt;</w:t>
      </w:r>
    </w:p>
    <w:p w14:paraId="2F086B42" w14:textId="0B2A0410"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7</w:t>
      </w:r>
      <w:r w:rsidRPr="00941D7C">
        <w:rPr>
          <w:rStyle w:val="HideTWBExt"/>
          <w:lang w:val="en-GB"/>
        </w:rPr>
        <w:t>&lt;/NumAm&gt;</w:t>
      </w:r>
    </w:p>
    <w:p w14:paraId="71077F71"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47B1024B" w14:textId="77777777" w:rsidR="00EE4038" w:rsidRPr="00941D7C" w:rsidRDefault="00EE4038" w:rsidP="00EE4038">
      <w:pPr>
        <w:pStyle w:val="NormalBold"/>
      </w:pPr>
      <w:r w:rsidRPr="00941D7C">
        <w:rPr>
          <w:rStyle w:val="HideTWBExt"/>
        </w:rPr>
        <w:t>&lt;Article&gt;</w:t>
      </w:r>
      <w:r w:rsidRPr="00941D7C">
        <w:t>Recital 12</w:t>
      </w:r>
      <w:r w:rsidRPr="00941D7C">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7D4483F0" w14:textId="77777777" w:rsidTr="00EE4038">
        <w:trPr>
          <w:jc w:val="center"/>
        </w:trPr>
        <w:tc>
          <w:tcPr>
            <w:tcW w:w="9752" w:type="dxa"/>
            <w:gridSpan w:val="2"/>
          </w:tcPr>
          <w:p w14:paraId="6CB1D4FB" w14:textId="77777777" w:rsidR="00EE4038" w:rsidRPr="00941D7C" w:rsidRDefault="00EE4038">
            <w:pPr>
              <w:keepNext/>
            </w:pPr>
          </w:p>
        </w:tc>
      </w:tr>
      <w:tr w:rsidR="00EE4038" w:rsidRPr="00941D7C" w14:paraId="5B9B4E7F" w14:textId="77777777" w:rsidTr="00EE4038">
        <w:trPr>
          <w:jc w:val="center"/>
        </w:trPr>
        <w:tc>
          <w:tcPr>
            <w:tcW w:w="4876" w:type="dxa"/>
            <w:hideMark/>
          </w:tcPr>
          <w:p w14:paraId="4886779D"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69A78B63" w14:textId="77777777" w:rsidR="00EE4038" w:rsidRPr="00941D7C" w:rsidRDefault="00EE4038">
            <w:pPr>
              <w:pStyle w:val="ColumnHeading"/>
              <w:keepNext/>
              <w:rPr>
                <w:lang w:val="en-GB"/>
              </w:rPr>
            </w:pPr>
            <w:r w:rsidRPr="00941D7C">
              <w:rPr>
                <w:lang w:val="en-GB"/>
              </w:rPr>
              <w:t>Amendment</w:t>
            </w:r>
          </w:p>
        </w:tc>
      </w:tr>
      <w:tr w:rsidR="00EE4038" w:rsidRPr="00941D7C" w14:paraId="0BA89B66" w14:textId="77777777" w:rsidTr="00EE4038">
        <w:trPr>
          <w:jc w:val="center"/>
        </w:trPr>
        <w:tc>
          <w:tcPr>
            <w:tcW w:w="4876" w:type="dxa"/>
            <w:hideMark/>
          </w:tcPr>
          <w:p w14:paraId="701F4FCD" w14:textId="77777777" w:rsidR="00EE4038" w:rsidRPr="00941D7C" w:rsidRDefault="00EE4038">
            <w:pPr>
              <w:pStyle w:val="Normal6"/>
              <w:rPr>
                <w:lang w:val="en-GB"/>
              </w:rPr>
            </w:pPr>
            <w:r w:rsidRPr="00941D7C">
              <w:rPr>
                <w:lang w:val="en-GB"/>
              </w:rPr>
              <w:t>(12)</w:t>
            </w:r>
            <w:r w:rsidRPr="00941D7C">
              <w:rPr>
                <w:lang w:val="en-GB"/>
              </w:rPr>
              <w:tab/>
              <w:t>Article 29</w:t>
            </w:r>
            <w:proofErr w:type="gramStart"/>
            <w:r w:rsidRPr="00941D7C">
              <w:rPr>
                <w:lang w:val="en-GB"/>
              </w:rPr>
              <w:t>a(</w:t>
            </w:r>
            <w:proofErr w:type="gramEnd"/>
            <w:r w:rsidRPr="00941D7C">
              <w:rPr>
                <w:lang w:val="en-GB"/>
              </w:rPr>
              <w:t xml:space="preserve">1) of Directive 2013/34/EU requires parent undertakings of large groups to prepare and publish a sustainability statement at consolidated level. To reduce the reporting burden on those parent undertakings, the scope of that obligation should be reduced to parent undertakings of </w:t>
            </w:r>
            <w:r w:rsidRPr="00941D7C">
              <w:rPr>
                <w:b/>
                <w:i/>
                <w:lang w:val="en-GB"/>
              </w:rPr>
              <w:t>large</w:t>
            </w:r>
            <w:r w:rsidRPr="00941D7C">
              <w:rPr>
                <w:lang w:val="en-GB"/>
              </w:rPr>
              <w:t xml:space="preserve"> groups with an average of more than </w:t>
            </w:r>
            <w:r w:rsidRPr="00941D7C">
              <w:rPr>
                <w:b/>
                <w:i/>
                <w:lang w:val="en-GB"/>
              </w:rPr>
              <w:t>1000</w:t>
            </w:r>
            <w:r w:rsidRPr="00941D7C">
              <w:rPr>
                <w:lang w:val="en-GB"/>
              </w:rPr>
              <w:t xml:space="preserve"> employees, on a consolidated basis, during the financial year.</w:t>
            </w:r>
          </w:p>
        </w:tc>
        <w:tc>
          <w:tcPr>
            <w:tcW w:w="4876" w:type="dxa"/>
            <w:hideMark/>
          </w:tcPr>
          <w:p w14:paraId="7C455A5D" w14:textId="77777777" w:rsidR="00EE4038" w:rsidRPr="00941D7C" w:rsidRDefault="00EE4038">
            <w:pPr>
              <w:pStyle w:val="Normal6"/>
              <w:rPr>
                <w:szCs w:val="24"/>
                <w:lang w:val="en-GB"/>
              </w:rPr>
            </w:pPr>
            <w:r w:rsidRPr="00941D7C">
              <w:rPr>
                <w:lang w:val="en-GB"/>
              </w:rPr>
              <w:t>(12)</w:t>
            </w:r>
            <w:r w:rsidRPr="00941D7C">
              <w:rPr>
                <w:lang w:val="en-GB"/>
              </w:rPr>
              <w:tab/>
              <w:t>Article 29</w:t>
            </w:r>
            <w:proofErr w:type="gramStart"/>
            <w:r w:rsidRPr="00941D7C">
              <w:rPr>
                <w:lang w:val="en-GB"/>
              </w:rPr>
              <w:t>a(</w:t>
            </w:r>
            <w:proofErr w:type="gramEnd"/>
            <w:r w:rsidRPr="00941D7C">
              <w:rPr>
                <w:lang w:val="en-GB"/>
              </w:rPr>
              <w:t xml:space="preserve">1) of Directive 2013/34/EU requires parent undertakings of large groups to prepare and publish a sustainability statement at consolidated level. To reduce the reporting burden on those parent undertakings, the scope of that obligation should be reduced to parent undertakings of groups with an average of more than </w:t>
            </w:r>
            <w:r w:rsidRPr="00941D7C">
              <w:rPr>
                <w:b/>
                <w:i/>
                <w:lang w:val="en-GB"/>
              </w:rPr>
              <w:t>3000</w:t>
            </w:r>
            <w:r w:rsidRPr="00941D7C">
              <w:rPr>
                <w:lang w:val="en-GB"/>
              </w:rPr>
              <w:t xml:space="preserve"> employees </w:t>
            </w:r>
            <w:r w:rsidRPr="00941D7C">
              <w:rPr>
                <w:b/>
                <w:i/>
                <w:lang w:val="en-GB"/>
              </w:rPr>
              <w:t>and a net turnover of more than EUR 450 000 000</w:t>
            </w:r>
            <w:r w:rsidRPr="00941D7C">
              <w:rPr>
                <w:lang w:val="en-GB"/>
              </w:rPr>
              <w:t>, on a consolidated basis, during the financial year.</w:t>
            </w:r>
          </w:p>
        </w:tc>
      </w:tr>
    </w:tbl>
    <w:p w14:paraId="5E5E4409"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6164FF02" w14:textId="77777777" w:rsidR="00EE4038" w:rsidRPr="00941D7C" w:rsidRDefault="00EE4038" w:rsidP="00EE4038">
      <w:r w:rsidRPr="00941D7C">
        <w:rPr>
          <w:rStyle w:val="HideTWBExt"/>
        </w:rPr>
        <w:t>&lt;/Amend&gt;</w:t>
      </w:r>
    </w:p>
    <w:p w14:paraId="7A97E596" w14:textId="65EA7E4D"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8</w:t>
      </w:r>
      <w:r w:rsidRPr="00941D7C">
        <w:rPr>
          <w:rStyle w:val="HideTWBExt"/>
          <w:lang w:val="en-GB"/>
        </w:rPr>
        <w:t>&lt;/NumAm&gt;</w:t>
      </w:r>
    </w:p>
    <w:p w14:paraId="304FA0FB"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79DF8FD4" w14:textId="77777777" w:rsidR="00EE4038" w:rsidRPr="00941D7C" w:rsidRDefault="00EE4038" w:rsidP="00EE4038">
      <w:pPr>
        <w:pStyle w:val="NormalBold"/>
      </w:pPr>
      <w:r w:rsidRPr="00941D7C">
        <w:rPr>
          <w:rStyle w:val="HideTWBExt"/>
        </w:rPr>
        <w:t>&lt;Article&gt;</w:t>
      </w:r>
      <w:r w:rsidRPr="00941D7C">
        <w:t>Recital 14</w:t>
      </w:r>
      <w:r w:rsidRPr="00941D7C">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09F3D93C" w14:textId="77777777" w:rsidTr="00EE4038">
        <w:trPr>
          <w:jc w:val="center"/>
        </w:trPr>
        <w:tc>
          <w:tcPr>
            <w:tcW w:w="9752" w:type="dxa"/>
            <w:gridSpan w:val="2"/>
          </w:tcPr>
          <w:p w14:paraId="109D9F45" w14:textId="77777777" w:rsidR="00EE4038" w:rsidRPr="00941D7C" w:rsidRDefault="00EE4038">
            <w:pPr>
              <w:keepNext/>
            </w:pPr>
          </w:p>
        </w:tc>
      </w:tr>
      <w:tr w:rsidR="00EE4038" w:rsidRPr="00941D7C" w14:paraId="7096B705" w14:textId="77777777" w:rsidTr="00EE4038">
        <w:trPr>
          <w:jc w:val="center"/>
        </w:trPr>
        <w:tc>
          <w:tcPr>
            <w:tcW w:w="4876" w:type="dxa"/>
            <w:hideMark/>
          </w:tcPr>
          <w:p w14:paraId="6AE18AFE"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699E14F4" w14:textId="77777777" w:rsidR="00EE4038" w:rsidRPr="00941D7C" w:rsidRDefault="00EE4038">
            <w:pPr>
              <w:pStyle w:val="ColumnHeading"/>
              <w:keepNext/>
              <w:rPr>
                <w:lang w:val="en-GB"/>
              </w:rPr>
            </w:pPr>
            <w:r w:rsidRPr="00941D7C">
              <w:rPr>
                <w:lang w:val="en-GB"/>
              </w:rPr>
              <w:t>Amendment</w:t>
            </w:r>
          </w:p>
        </w:tc>
      </w:tr>
      <w:tr w:rsidR="00EE4038" w:rsidRPr="00941D7C" w14:paraId="4CCB731E" w14:textId="77777777" w:rsidTr="00EE4038">
        <w:trPr>
          <w:jc w:val="center"/>
        </w:trPr>
        <w:tc>
          <w:tcPr>
            <w:tcW w:w="4876" w:type="dxa"/>
            <w:hideMark/>
          </w:tcPr>
          <w:p w14:paraId="60F8279C" w14:textId="77777777" w:rsidR="00EE4038" w:rsidRPr="00941D7C" w:rsidRDefault="00EE4038">
            <w:pPr>
              <w:pStyle w:val="Normal6"/>
              <w:rPr>
                <w:lang w:val="en-GB"/>
              </w:rPr>
            </w:pPr>
            <w:r w:rsidRPr="00941D7C">
              <w:rPr>
                <w:lang w:val="en-GB"/>
              </w:rPr>
              <w:t>(14)</w:t>
            </w:r>
            <w:r w:rsidRPr="00941D7C">
              <w:rPr>
                <w:lang w:val="en-GB"/>
              </w:rPr>
              <w:tab/>
              <w:t>Article 29</w:t>
            </w:r>
            <w:proofErr w:type="gramStart"/>
            <w:r w:rsidRPr="00941D7C">
              <w:rPr>
                <w:lang w:val="en-GB"/>
              </w:rPr>
              <w:t>b(</w:t>
            </w:r>
            <w:proofErr w:type="gramEnd"/>
            <w:r w:rsidRPr="00941D7C">
              <w:rPr>
                <w:lang w:val="en-GB"/>
              </w:rPr>
              <w:t xml:space="preserve">4) of Directive 2013/34/EU requires sustainability reporting standards to not specify disclosures requiring undertakings to obtain from small and medium-sized undertakings in their value chain any information that goes beyond the information to be disclosed pursuant to the sustainability reporting standards for small and medium-sized undertakings with securities admitted to trading on an EU regulated market. Considering that small and medium-sized undertakings with securities admitted to trading on an EU regulated market should be excluded from sustainability reporting, and in order to reduce the reporting burden for undertakings in the </w:t>
            </w:r>
            <w:r w:rsidRPr="00941D7C">
              <w:rPr>
                <w:b/>
                <w:i/>
                <w:lang w:val="en-GB"/>
              </w:rPr>
              <w:t>value</w:t>
            </w:r>
            <w:r w:rsidRPr="00941D7C">
              <w:rPr>
                <w:lang w:val="en-GB"/>
              </w:rPr>
              <w:t xml:space="preserve"> chain that are not required to report on their sustainability, the sustainability reporting standards should not specify disclosures requiring undertakings to obtain from undertakings in their </w:t>
            </w:r>
            <w:r w:rsidRPr="00941D7C">
              <w:rPr>
                <w:b/>
                <w:i/>
                <w:lang w:val="en-GB"/>
              </w:rPr>
              <w:t>value</w:t>
            </w:r>
            <w:r w:rsidRPr="00941D7C">
              <w:rPr>
                <w:lang w:val="en-GB"/>
              </w:rPr>
              <w:t xml:space="preserve"> chain that have up to </w:t>
            </w:r>
            <w:r w:rsidRPr="00941D7C">
              <w:rPr>
                <w:b/>
                <w:i/>
                <w:lang w:val="en-GB"/>
              </w:rPr>
              <w:t>1000</w:t>
            </w:r>
            <w:r w:rsidRPr="00941D7C">
              <w:rPr>
                <w:lang w:val="en-GB"/>
              </w:rPr>
              <w:t xml:space="preserve"> employees on average during the financial year any information that goes beyond the information to be disclosed pursuant to the sustainability reporting standards for voluntary use by undertakings that are not required to report on their sustainability.</w:t>
            </w:r>
          </w:p>
        </w:tc>
        <w:tc>
          <w:tcPr>
            <w:tcW w:w="4876" w:type="dxa"/>
            <w:hideMark/>
          </w:tcPr>
          <w:p w14:paraId="2B1481FC" w14:textId="77777777" w:rsidR="00EE4038" w:rsidRPr="00941D7C" w:rsidRDefault="00EE4038">
            <w:pPr>
              <w:pStyle w:val="Normal6"/>
              <w:rPr>
                <w:szCs w:val="24"/>
                <w:lang w:val="en-GB"/>
              </w:rPr>
            </w:pPr>
            <w:r w:rsidRPr="00941D7C">
              <w:rPr>
                <w:lang w:val="en-GB"/>
              </w:rPr>
              <w:t>(14)</w:t>
            </w:r>
            <w:r w:rsidRPr="00941D7C">
              <w:rPr>
                <w:lang w:val="en-GB"/>
              </w:rPr>
              <w:tab/>
              <w:t>Article 29</w:t>
            </w:r>
            <w:proofErr w:type="gramStart"/>
            <w:r w:rsidRPr="00941D7C">
              <w:rPr>
                <w:lang w:val="en-GB"/>
              </w:rPr>
              <w:t>b(</w:t>
            </w:r>
            <w:proofErr w:type="gramEnd"/>
            <w:r w:rsidRPr="00941D7C">
              <w:rPr>
                <w:lang w:val="en-GB"/>
              </w:rPr>
              <w:t xml:space="preserve">4) of Directive 2013/34/EU requires sustainability reporting standards to not specify disclosures requiring undertakings to obtain from small and medium-sized undertakings in their value chain any information that goes beyond the information to be disclosed pursuant to the sustainability reporting standards for small and medium-sized undertakings with securities admitted to trading on an EU regulated market. Considering that small and medium-sized undertakings with securities admitted to trading on an EU regulated market should be excluded from sustainability reporting, and in order to reduce the reporting burden for undertakings in the chain </w:t>
            </w:r>
            <w:r w:rsidRPr="00941D7C">
              <w:rPr>
                <w:b/>
                <w:i/>
                <w:lang w:val="en-GB"/>
              </w:rPr>
              <w:t>of activities</w:t>
            </w:r>
            <w:r w:rsidRPr="00941D7C">
              <w:rPr>
                <w:lang w:val="en-GB"/>
              </w:rPr>
              <w:t xml:space="preserve"> that are not required to report on their sustainability, the sustainability reporting standards should not specify disclosures requiring undertakings to obtain from undertakings in their chain </w:t>
            </w:r>
            <w:r w:rsidRPr="00941D7C">
              <w:rPr>
                <w:b/>
                <w:i/>
                <w:lang w:val="en-GB"/>
              </w:rPr>
              <w:t>of activities</w:t>
            </w:r>
            <w:r w:rsidRPr="00941D7C">
              <w:rPr>
                <w:lang w:val="en-GB"/>
              </w:rPr>
              <w:t xml:space="preserve"> that have up to </w:t>
            </w:r>
            <w:r w:rsidRPr="00941D7C">
              <w:rPr>
                <w:b/>
                <w:i/>
                <w:lang w:val="en-GB"/>
              </w:rPr>
              <w:t>3000</w:t>
            </w:r>
            <w:r w:rsidRPr="00941D7C">
              <w:rPr>
                <w:lang w:val="en-GB"/>
              </w:rPr>
              <w:t xml:space="preserve"> employees </w:t>
            </w:r>
            <w:r w:rsidRPr="00941D7C">
              <w:rPr>
                <w:b/>
                <w:i/>
                <w:lang w:val="en-GB"/>
              </w:rPr>
              <w:t>and a net turnover of up to EUR 450 000 000</w:t>
            </w:r>
            <w:r w:rsidRPr="00941D7C">
              <w:rPr>
                <w:lang w:val="en-GB"/>
              </w:rPr>
              <w:t xml:space="preserve"> on average during the financial year any information that goes beyond the information to be disclosed pursuant to the sustainability reporting standards for voluntary use by undertakings that are not required to report on their sustainability. </w:t>
            </w:r>
          </w:p>
        </w:tc>
      </w:tr>
    </w:tbl>
    <w:p w14:paraId="340C262F"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51219C36" w14:textId="77777777" w:rsidR="00EE4038" w:rsidRPr="00941D7C" w:rsidRDefault="00EE4038" w:rsidP="00EE4038">
      <w:r w:rsidRPr="00941D7C">
        <w:rPr>
          <w:rStyle w:val="HideTWBExt"/>
        </w:rPr>
        <w:t>&lt;/Amend&gt;</w:t>
      </w:r>
    </w:p>
    <w:p w14:paraId="117293DE" w14:textId="6FFC3B6B"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9</w:t>
      </w:r>
      <w:r w:rsidRPr="00941D7C">
        <w:rPr>
          <w:rStyle w:val="HideTWBExt"/>
          <w:lang w:val="en-GB"/>
        </w:rPr>
        <w:t>&lt;/NumAm&gt;</w:t>
      </w:r>
    </w:p>
    <w:p w14:paraId="739F73BA"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47279CBB" w14:textId="77777777" w:rsidR="00EE4038" w:rsidRPr="00941D7C" w:rsidRDefault="00EE4038" w:rsidP="00EE4038">
      <w:pPr>
        <w:pStyle w:val="NormalBold"/>
      </w:pPr>
      <w:r w:rsidRPr="00941D7C">
        <w:rPr>
          <w:rStyle w:val="HideTWBExt"/>
        </w:rPr>
        <w:t>&lt;Article&gt;</w:t>
      </w:r>
      <w:r w:rsidRPr="00941D7C">
        <w:t>Recital 15</w:t>
      </w:r>
      <w:r w:rsidRPr="00941D7C">
        <w:rPr>
          <w:rStyle w:val="HideTWBExt"/>
        </w:rPr>
        <w:t>&lt;/Article&gt;</w:t>
      </w:r>
    </w:p>
    <w:tbl>
      <w:tblPr>
        <w:tblW w:w="0"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0CF81EDC" w14:textId="77777777" w:rsidTr="00EE4038">
        <w:trPr>
          <w:jc w:val="center"/>
        </w:trPr>
        <w:tc>
          <w:tcPr>
            <w:tcW w:w="9752" w:type="dxa"/>
            <w:gridSpan w:val="2"/>
          </w:tcPr>
          <w:p w14:paraId="55B49D01" w14:textId="77777777" w:rsidR="00EE4038" w:rsidRPr="00941D7C" w:rsidRDefault="00EE4038">
            <w:pPr>
              <w:keepNext/>
            </w:pPr>
          </w:p>
        </w:tc>
      </w:tr>
      <w:tr w:rsidR="00EE4038" w:rsidRPr="00941D7C" w14:paraId="1D389438" w14:textId="77777777" w:rsidTr="00EE4038">
        <w:trPr>
          <w:jc w:val="center"/>
        </w:trPr>
        <w:tc>
          <w:tcPr>
            <w:tcW w:w="4876" w:type="dxa"/>
            <w:hideMark/>
          </w:tcPr>
          <w:p w14:paraId="25C49C30"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02A8B51C" w14:textId="77777777" w:rsidR="00EE4038" w:rsidRPr="00941D7C" w:rsidRDefault="00EE4038">
            <w:pPr>
              <w:pStyle w:val="ColumnHeading"/>
              <w:keepNext/>
              <w:rPr>
                <w:lang w:val="en-GB"/>
              </w:rPr>
            </w:pPr>
            <w:r w:rsidRPr="00941D7C">
              <w:rPr>
                <w:lang w:val="en-GB"/>
              </w:rPr>
              <w:t>Amendment</w:t>
            </w:r>
          </w:p>
        </w:tc>
      </w:tr>
      <w:tr w:rsidR="00EE4038" w:rsidRPr="00941D7C" w14:paraId="25699343" w14:textId="77777777" w:rsidTr="00EE4038">
        <w:trPr>
          <w:jc w:val="center"/>
        </w:trPr>
        <w:tc>
          <w:tcPr>
            <w:tcW w:w="4876" w:type="dxa"/>
            <w:hideMark/>
          </w:tcPr>
          <w:p w14:paraId="1E9ADFCC" w14:textId="77777777" w:rsidR="00EE4038" w:rsidRPr="00941D7C" w:rsidRDefault="00EE4038">
            <w:pPr>
              <w:pStyle w:val="Normal6"/>
              <w:rPr>
                <w:lang w:val="en-GB"/>
              </w:rPr>
            </w:pPr>
            <w:r w:rsidRPr="00941D7C">
              <w:rPr>
                <w:lang w:val="en-GB"/>
              </w:rPr>
              <w:t>(15)</w:t>
            </w:r>
            <w:r w:rsidRPr="00941D7C">
              <w:rPr>
                <w:lang w:val="en-GB"/>
              </w:rPr>
              <w:tab/>
              <w:t>Article 29d of Directive 2013/34/EU requires undertakings subject to the requirements in Articles 19a and 29a of that Directive to prepare their management report, or consolidated management report, where applicable, in the electronic reporting format specified in Article 3 of Commission Delegated Regulation (EU) 2019/815</w:t>
            </w:r>
            <w:r w:rsidRPr="00941D7C">
              <w:rPr>
                <w:vertAlign w:val="superscript"/>
                <w:lang w:val="en-GB"/>
              </w:rPr>
              <w:t>11</w:t>
            </w:r>
            <w:r w:rsidRPr="00941D7C">
              <w:rPr>
                <w:lang w:val="en-GB"/>
              </w:rPr>
              <w:t xml:space="preserve"> and to mark up their sustainability reporting, including the disclosures provided for in Article 8 of Regulation (EU) 2020/852 of the European Parliament and of the Council</w:t>
            </w:r>
            <w:r w:rsidRPr="00941D7C">
              <w:rPr>
                <w:vertAlign w:val="superscript"/>
                <w:lang w:val="en-GB"/>
              </w:rPr>
              <w:t>12</w:t>
            </w:r>
            <w:r w:rsidRPr="00941D7C">
              <w:rPr>
                <w:lang w:val="en-GB"/>
              </w:rPr>
              <w:t xml:space="preserve"> , in accordance with the electronic reporting format to be specified in that Delegated Regulation. To provide clarity to undertakings, it should be specified that until such rules on the marking up are adopted by way of that </w:t>
            </w:r>
            <w:r w:rsidRPr="00941D7C">
              <w:rPr>
                <w:b/>
                <w:i/>
                <w:lang w:val="en-GB"/>
              </w:rPr>
              <w:t>a</w:t>
            </w:r>
            <w:r w:rsidRPr="00941D7C">
              <w:rPr>
                <w:lang w:val="en-GB"/>
              </w:rPr>
              <w:t xml:space="preserve"> Delegated Regulation, </w:t>
            </w:r>
            <w:r w:rsidRPr="00941D7C">
              <w:rPr>
                <w:b/>
                <w:i/>
                <w:lang w:val="en-GB"/>
              </w:rPr>
              <w:t>for the marking up of sustainability reporting is adopted,</w:t>
            </w:r>
            <w:r w:rsidRPr="00941D7C">
              <w:rPr>
                <w:lang w:val="en-GB"/>
              </w:rPr>
              <w:t xml:space="preserve"> undertakings are </w:t>
            </w:r>
            <w:r w:rsidRPr="00941D7C">
              <w:rPr>
                <w:b/>
                <w:i/>
                <w:lang w:val="en-GB"/>
              </w:rPr>
              <w:t xml:space="preserve">should </w:t>
            </w:r>
            <w:r w:rsidRPr="00941D7C">
              <w:rPr>
                <w:lang w:val="en-GB"/>
              </w:rPr>
              <w:t>not</w:t>
            </w:r>
            <w:r w:rsidRPr="00941D7C">
              <w:rPr>
                <w:b/>
                <w:i/>
                <w:lang w:val="en-GB"/>
              </w:rPr>
              <w:t xml:space="preserve"> be</w:t>
            </w:r>
            <w:r w:rsidRPr="00941D7C">
              <w:rPr>
                <w:lang w:val="en-GB"/>
              </w:rPr>
              <w:t xml:space="preserve"> required to mark-up their sustainability reporting.</w:t>
            </w:r>
          </w:p>
        </w:tc>
        <w:tc>
          <w:tcPr>
            <w:tcW w:w="4876" w:type="dxa"/>
            <w:hideMark/>
          </w:tcPr>
          <w:p w14:paraId="3688491C" w14:textId="6A832591" w:rsidR="00EE4038" w:rsidRPr="00941D7C" w:rsidRDefault="00EE4038" w:rsidP="006A06F5">
            <w:pPr>
              <w:pStyle w:val="Normal6"/>
              <w:rPr>
                <w:szCs w:val="24"/>
                <w:lang w:val="en-GB"/>
              </w:rPr>
            </w:pPr>
            <w:r w:rsidRPr="00941D7C">
              <w:rPr>
                <w:lang w:val="en-GB"/>
              </w:rPr>
              <w:t>(15)</w:t>
            </w:r>
            <w:r w:rsidRPr="00941D7C">
              <w:rPr>
                <w:lang w:val="en-GB"/>
              </w:rPr>
              <w:tab/>
              <w:t>Article 29d of Directive 2013/34/EU requires undertakings subject to the requirements in Articles 19a and 29a of that Directive to prepare their management report, or consolidated management report, where applicable, in the electronic reporting format specified in Article 3 of Commission Delegated Regulation (EU) 2019/815</w:t>
            </w:r>
            <w:r w:rsidRPr="00941D7C">
              <w:rPr>
                <w:vertAlign w:val="superscript"/>
                <w:lang w:val="en-GB"/>
              </w:rPr>
              <w:t>11</w:t>
            </w:r>
            <w:r w:rsidRPr="00941D7C">
              <w:rPr>
                <w:lang w:val="en-GB"/>
              </w:rPr>
              <w:t xml:space="preserve"> and to mark up their sustainability reporting, including the disclosures provided for in Article 8 of Regulation (EU) 2020/852 of the European Parliament and of the Council</w:t>
            </w:r>
            <w:r w:rsidRPr="00941D7C">
              <w:rPr>
                <w:vertAlign w:val="superscript"/>
                <w:lang w:val="en-GB"/>
              </w:rPr>
              <w:t>12</w:t>
            </w:r>
            <w:r w:rsidRPr="00941D7C">
              <w:rPr>
                <w:lang w:val="en-GB"/>
              </w:rPr>
              <w:t xml:space="preserve">, in accordance with the electronic reporting format to be specified in that Delegated Regulation. To provide clarity to undertakings, it should be specified that until such rules on the marking up </w:t>
            </w:r>
            <w:r w:rsidR="005D3964" w:rsidRPr="00941D7C">
              <w:rPr>
                <w:b/>
                <w:i/>
                <w:lang w:val="en-GB"/>
              </w:rPr>
              <w:t xml:space="preserve">of sustainability reporting </w:t>
            </w:r>
            <w:r w:rsidRPr="00941D7C">
              <w:rPr>
                <w:lang w:val="en-GB"/>
              </w:rPr>
              <w:t>are adopted by way of that Delegated Regulation, undertakings are not required to mark-up their sustainability reporting.</w:t>
            </w:r>
          </w:p>
        </w:tc>
      </w:tr>
      <w:tr w:rsidR="00EE4038" w:rsidRPr="00941D7C" w14:paraId="16F1CEBF" w14:textId="77777777" w:rsidTr="00EE4038">
        <w:trPr>
          <w:jc w:val="center"/>
        </w:trPr>
        <w:tc>
          <w:tcPr>
            <w:tcW w:w="4876" w:type="dxa"/>
            <w:hideMark/>
          </w:tcPr>
          <w:p w14:paraId="5E432DE1" w14:textId="77777777" w:rsidR="00EE4038" w:rsidRPr="00941D7C" w:rsidRDefault="00EE4038">
            <w:pPr>
              <w:pStyle w:val="Normal6"/>
              <w:rPr>
                <w:lang w:val="en-GB"/>
              </w:rPr>
            </w:pPr>
            <w:r w:rsidRPr="00941D7C">
              <w:rPr>
                <w:lang w:val="en-GB"/>
              </w:rPr>
              <w:t>__________________</w:t>
            </w:r>
          </w:p>
        </w:tc>
        <w:tc>
          <w:tcPr>
            <w:tcW w:w="4876" w:type="dxa"/>
            <w:hideMark/>
          </w:tcPr>
          <w:p w14:paraId="524407F3" w14:textId="77777777" w:rsidR="00EE4038" w:rsidRPr="00941D7C" w:rsidRDefault="00EE4038">
            <w:pPr>
              <w:pStyle w:val="Normal6"/>
              <w:rPr>
                <w:szCs w:val="24"/>
                <w:lang w:val="en-GB"/>
              </w:rPr>
            </w:pPr>
            <w:r w:rsidRPr="00941D7C">
              <w:rPr>
                <w:lang w:val="en-GB"/>
              </w:rPr>
              <w:t>__________________</w:t>
            </w:r>
          </w:p>
        </w:tc>
      </w:tr>
      <w:tr w:rsidR="00EE4038" w:rsidRPr="00941D7C" w14:paraId="3FF2262C" w14:textId="77777777" w:rsidTr="00EE4038">
        <w:trPr>
          <w:jc w:val="center"/>
        </w:trPr>
        <w:tc>
          <w:tcPr>
            <w:tcW w:w="4876" w:type="dxa"/>
            <w:hideMark/>
          </w:tcPr>
          <w:p w14:paraId="55952437" w14:textId="77777777" w:rsidR="00EE4038" w:rsidRPr="00941D7C" w:rsidRDefault="00EE4038">
            <w:pPr>
              <w:pStyle w:val="Normal6"/>
              <w:rPr>
                <w:lang w:val="en-GB"/>
              </w:rPr>
            </w:pPr>
            <w:r w:rsidRPr="00941D7C">
              <w:rPr>
                <w:vertAlign w:val="superscript"/>
                <w:lang w:val="en-GB"/>
              </w:rPr>
              <w:t>11</w:t>
            </w:r>
            <w:r w:rsidRPr="00941D7C">
              <w:rPr>
                <w:lang w:val="en-GB"/>
              </w:rPr>
              <w:t xml:space="preserve"> Commission Delegated Regulation (EU) 2018/815 of 17 December 2018 supplementing Directive 2004/109/EC of the European Parliament and of the Council </w:t>
            </w:r>
            <w:proofErr w:type="gramStart"/>
            <w:r w:rsidRPr="00941D7C">
              <w:rPr>
                <w:lang w:val="en-GB"/>
              </w:rPr>
              <w:t>with regard to</w:t>
            </w:r>
            <w:proofErr w:type="gramEnd"/>
            <w:r w:rsidRPr="00941D7C">
              <w:rPr>
                <w:lang w:val="en-GB"/>
              </w:rPr>
              <w:t xml:space="preserve"> regulatory technical standards on the specification of a single electronic reporting format (OJ L 143, 29.5.2019, p. 1, ELI: http://data.europa.eu/eli/reg_del/2019/815/oj).</w:t>
            </w:r>
          </w:p>
        </w:tc>
        <w:tc>
          <w:tcPr>
            <w:tcW w:w="4876" w:type="dxa"/>
            <w:hideMark/>
          </w:tcPr>
          <w:p w14:paraId="559B3FF9" w14:textId="77777777" w:rsidR="00EE4038" w:rsidRPr="00941D7C" w:rsidRDefault="00EE4038">
            <w:pPr>
              <w:pStyle w:val="Normal6"/>
              <w:rPr>
                <w:szCs w:val="24"/>
                <w:lang w:val="en-GB"/>
              </w:rPr>
            </w:pPr>
            <w:r w:rsidRPr="00941D7C">
              <w:rPr>
                <w:vertAlign w:val="superscript"/>
                <w:lang w:val="en-GB"/>
              </w:rPr>
              <w:t>11</w:t>
            </w:r>
            <w:r w:rsidRPr="00941D7C">
              <w:rPr>
                <w:lang w:val="en-GB"/>
              </w:rPr>
              <w:t xml:space="preserve"> Commission Delegated Regulation (EU) 2018/815 of 17 December 2018 supplementing Directive 2004/109/EC of the European Parliament and of the Council </w:t>
            </w:r>
            <w:proofErr w:type="gramStart"/>
            <w:r w:rsidRPr="00941D7C">
              <w:rPr>
                <w:lang w:val="en-GB"/>
              </w:rPr>
              <w:t>with regard to</w:t>
            </w:r>
            <w:proofErr w:type="gramEnd"/>
            <w:r w:rsidRPr="00941D7C">
              <w:rPr>
                <w:lang w:val="en-GB"/>
              </w:rPr>
              <w:t xml:space="preserve"> regulatory technical standards on the specification of a single electronic reporting format (OJ L 143, 29.5.2019, p. 1, ELI: http://data.europa.eu/eli/reg_del/2019/815/oj).</w:t>
            </w:r>
          </w:p>
        </w:tc>
      </w:tr>
      <w:tr w:rsidR="00EE4038" w:rsidRPr="00941D7C" w14:paraId="7CE6E166" w14:textId="77777777" w:rsidTr="00EE4038">
        <w:trPr>
          <w:jc w:val="center"/>
        </w:trPr>
        <w:tc>
          <w:tcPr>
            <w:tcW w:w="4876" w:type="dxa"/>
            <w:hideMark/>
          </w:tcPr>
          <w:p w14:paraId="47AF4358" w14:textId="77777777" w:rsidR="00EE4038" w:rsidRPr="00941D7C" w:rsidRDefault="00EE4038">
            <w:pPr>
              <w:pStyle w:val="Normal6"/>
              <w:rPr>
                <w:lang w:val="en-GB"/>
              </w:rPr>
            </w:pPr>
            <w:r w:rsidRPr="00941D7C">
              <w:rPr>
                <w:vertAlign w:val="superscript"/>
                <w:lang w:val="en-GB"/>
              </w:rPr>
              <w:t>12</w:t>
            </w:r>
            <w:r w:rsidRPr="00941D7C">
              <w:rPr>
                <w:lang w:val="en-GB"/>
              </w:rPr>
              <w:t xml:space="preserve"> Regulation (EU) 2020/852 of the European Parliament and of the Council of 18 June 2020 on the establishment of a framework to facilitate sustainable </w:t>
            </w:r>
            <w:proofErr w:type="gramStart"/>
            <w:r w:rsidRPr="00941D7C">
              <w:rPr>
                <w:lang w:val="en-GB"/>
              </w:rPr>
              <w:t>investment, and</w:t>
            </w:r>
            <w:proofErr w:type="gramEnd"/>
            <w:r w:rsidRPr="00941D7C">
              <w:rPr>
                <w:lang w:val="en-GB"/>
              </w:rPr>
              <w:t xml:space="preserve"> amending Regulation (EU) 2019/2088 (OJ L 198, 22.6.2020, p. 13, ELI: http://data.europa.eu/eli/reg/2020/852/oj).</w:t>
            </w:r>
          </w:p>
        </w:tc>
        <w:tc>
          <w:tcPr>
            <w:tcW w:w="4876" w:type="dxa"/>
            <w:hideMark/>
          </w:tcPr>
          <w:p w14:paraId="29B76D3F" w14:textId="77777777" w:rsidR="00EE4038" w:rsidRPr="00941D7C" w:rsidRDefault="00EE4038">
            <w:pPr>
              <w:pStyle w:val="Normal6"/>
              <w:rPr>
                <w:szCs w:val="24"/>
                <w:lang w:val="en-GB"/>
              </w:rPr>
            </w:pPr>
            <w:r w:rsidRPr="00941D7C">
              <w:rPr>
                <w:vertAlign w:val="superscript"/>
                <w:lang w:val="en-GB"/>
              </w:rPr>
              <w:t>12</w:t>
            </w:r>
            <w:r w:rsidRPr="00941D7C">
              <w:rPr>
                <w:lang w:val="en-GB"/>
              </w:rPr>
              <w:t xml:space="preserve"> Regulation (EU) 2020/852 of the European Parliament and of the Council of 18 June 2020 on the establishment of a framework to facilitate sustainable </w:t>
            </w:r>
            <w:proofErr w:type="gramStart"/>
            <w:r w:rsidRPr="00941D7C">
              <w:rPr>
                <w:lang w:val="en-GB"/>
              </w:rPr>
              <w:t>investment, and</w:t>
            </w:r>
            <w:proofErr w:type="gramEnd"/>
            <w:r w:rsidRPr="00941D7C">
              <w:rPr>
                <w:lang w:val="en-GB"/>
              </w:rPr>
              <w:t xml:space="preserve"> amending Regulation (EU) 2019/2088 (OJ L 198, 22.6.2020, p. 13, ELI: http://data.europa.eu/eli/reg/2020/852/oj).</w:t>
            </w:r>
          </w:p>
        </w:tc>
      </w:tr>
    </w:tbl>
    <w:p w14:paraId="40620C40"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0C7CD961" w14:textId="77777777" w:rsidR="00EE4038" w:rsidRPr="00941D7C" w:rsidRDefault="00EE4038" w:rsidP="00EE4038">
      <w:r w:rsidRPr="00941D7C">
        <w:rPr>
          <w:rStyle w:val="HideTWBExt"/>
        </w:rPr>
        <w:t>&lt;/Amend&gt;</w:t>
      </w:r>
    </w:p>
    <w:p w14:paraId="2CAC27D2" w14:textId="44450C2F"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10</w:t>
      </w:r>
      <w:r w:rsidRPr="00941D7C">
        <w:rPr>
          <w:rStyle w:val="HideTWBExt"/>
          <w:lang w:val="en-GB"/>
        </w:rPr>
        <w:t>&lt;/NumAm&gt;</w:t>
      </w:r>
    </w:p>
    <w:p w14:paraId="63806500"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4FAF964D" w14:textId="77777777" w:rsidR="00EE4038" w:rsidRPr="00941D7C" w:rsidRDefault="00EE4038" w:rsidP="00EE4038">
      <w:pPr>
        <w:pStyle w:val="NormalBold"/>
      </w:pPr>
      <w:r w:rsidRPr="00941D7C">
        <w:rPr>
          <w:rStyle w:val="HideTWBExt"/>
        </w:rPr>
        <w:t>&lt;Article&gt;</w:t>
      </w:r>
      <w:r w:rsidRPr="00941D7C">
        <w:t>Recital 16</w:t>
      </w:r>
      <w:r w:rsidRPr="00941D7C">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31A793F5" w14:textId="77777777" w:rsidTr="00EE4038">
        <w:trPr>
          <w:jc w:val="center"/>
        </w:trPr>
        <w:tc>
          <w:tcPr>
            <w:tcW w:w="9752" w:type="dxa"/>
            <w:gridSpan w:val="2"/>
          </w:tcPr>
          <w:p w14:paraId="1E25F7FE" w14:textId="77777777" w:rsidR="00EE4038" w:rsidRPr="00941D7C" w:rsidRDefault="00EE4038">
            <w:pPr>
              <w:keepNext/>
            </w:pPr>
          </w:p>
        </w:tc>
      </w:tr>
      <w:tr w:rsidR="00EE4038" w:rsidRPr="00941D7C" w14:paraId="47155EBC" w14:textId="77777777" w:rsidTr="00EE4038">
        <w:trPr>
          <w:jc w:val="center"/>
        </w:trPr>
        <w:tc>
          <w:tcPr>
            <w:tcW w:w="4876" w:type="dxa"/>
            <w:hideMark/>
          </w:tcPr>
          <w:p w14:paraId="04E3D8D4"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3401E0AF" w14:textId="77777777" w:rsidR="00EE4038" w:rsidRPr="00941D7C" w:rsidRDefault="00EE4038">
            <w:pPr>
              <w:pStyle w:val="ColumnHeading"/>
              <w:keepNext/>
              <w:rPr>
                <w:lang w:val="en-GB"/>
              </w:rPr>
            </w:pPr>
            <w:r w:rsidRPr="00941D7C">
              <w:rPr>
                <w:lang w:val="en-GB"/>
              </w:rPr>
              <w:t>Amendment</w:t>
            </w:r>
          </w:p>
        </w:tc>
      </w:tr>
      <w:tr w:rsidR="00EE4038" w:rsidRPr="00941D7C" w14:paraId="05DAD4B6" w14:textId="77777777" w:rsidTr="00EE4038">
        <w:trPr>
          <w:jc w:val="center"/>
        </w:trPr>
        <w:tc>
          <w:tcPr>
            <w:tcW w:w="4876" w:type="dxa"/>
            <w:hideMark/>
          </w:tcPr>
          <w:p w14:paraId="19E01EE0" w14:textId="77777777" w:rsidR="00EE4038" w:rsidRPr="00941D7C" w:rsidRDefault="00EE4038">
            <w:pPr>
              <w:pStyle w:val="Normal6"/>
              <w:rPr>
                <w:lang w:val="en-GB"/>
              </w:rPr>
            </w:pPr>
            <w:r w:rsidRPr="00941D7C">
              <w:rPr>
                <w:lang w:val="en-GB"/>
              </w:rPr>
              <w:t>(16)</w:t>
            </w:r>
            <w:r w:rsidRPr="00941D7C">
              <w:rPr>
                <w:lang w:val="en-GB"/>
              </w:rPr>
              <w:tab/>
              <w:t xml:space="preserve">Article 33(1) of Directive 2013/34/EU specifies that the members of the administrative, management and supervisory bodies of an undertaking have collective responsibility for ensuring that </w:t>
            </w:r>
            <w:r w:rsidRPr="00941D7C">
              <w:rPr>
                <w:b/>
                <w:i/>
                <w:lang w:val="en-GB"/>
              </w:rPr>
              <w:t>the following</w:t>
            </w:r>
            <w:r w:rsidRPr="00941D7C">
              <w:rPr>
                <w:lang w:val="en-GB"/>
              </w:rPr>
              <w:t xml:space="preserve"> documents are drawn up and published in accordance with the requirements of that Directive. To provide flexibility </w:t>
            </w:r>
            <w:r w:rsidRPr="00941D7C">
              <w:rPr>
                <w:b/>
                <w:i/>
                <w:lang w:val="en-GB"/>
              </w:rPr>
              <w:t>do</w:t>
            </w:r>
            <w:r w:rsidRPr="00941D7C">
              <w:rPr>
                <w:lang w:val="en-GB"/>
              </w:rPr>
              <w:t xml:space="preserve"> for undertakings and reduce their reporting burden, it should be specified that the collective responsibility of the members of the administrative, management and supervisory bodies of an undertaking for compliance with the requirements of Article 29d of that Directive as regards the digitalisation of the management report is limited to its publication in the single electronic format, including the marking up of the sustainability reporting therein.</w:t>
            </w:r>
          </w:p>
        </w:tc>
        <w:tc>
          <w:tcPr>
            <w:tcW w:w="4876" w:type="dxa"/>
            <w:hideMark/>
          </w:tcPr>
          <w:p w14:paraId="460D4347" w14:textId="77777777" w:rsidR="00EE4038" w:rsidRPr="00941D7C" w:rsidRDefault="00EE4038">
            <w:pPr>
              <w:pStyle w:val="Normal6"/>
              <w:rPr>
                <w:szCs w:val="24"/>
                <w:lang w:val="en-GB"/>
              </w:rPr>
            </w:pPr>
            <w:r w:rsidRPr="00941D7C">
              <w:rPr>
                <w:lang w:val="en-GB"/>
              </w:rPr>
              <w:t>(16)</w:t>
            </w:r>
            <w:r w:rsidRPr="00941D7C">
              <w:rPr>
                <w:lang w:val="en-GB"/>
              </w:rPr>
              <w:tab/>
              <w:t xml:space="preserve">Article 33(1) of Directive 2013/34/EU specifies that the members of the administrative, management and supervisory bodies of an undertaking have collective responsibility for ensuring that </w:t>
            </w:r>
            <w:r w:rsidRPr="00941D7C">
              <w:rPr>
                <w:b/>
                <w:i/>
                <w:lang w:val="en-GB"/>
              </w:rPr>
              <w:t>certain</w:t>
            </w:r>
            <w:r w:rsidRPr="00941D7C">
              <w:rPr>
                <w:lang w:val="en-GB"/>
              </w:rPr>
              <w:t xml:space="preserve"> documents are drawn up and published in accordance with the requirements of that Directive. To provide flexibility for undertakings and reduce their reporting burden, it should be specified that the collective responsibility of the members of the administrative, management and supervisory bodies of an undertaking for compliance with the requirements of Article 29d of that Directive as regards the digitalisation of the management report is limited to its publication in the single electronic format, including the marking up of the sustainability reporting therein.</w:t>
            </w:r>
          </w:p>
        </w:tc>
      </w:tr>
    </w:tbl>
    <w:p w14:paraId="371EFC65"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3AC583F6" w14:textId="77777777" w:rsidR="00EE4038" w:rsidRPr="00941D7C" w:rsidRDefault="00EE4038" w:rsidP="00EE4038">
      <w:r w:rsidRPr="00941D7C">
        <w:rPr>
          <w:rStyle w:val="HideTWBExt"/>
        </w:rPr>
        <w:t>&lt;/Amend&gt;</w:t>
      </w:r>
    </w:p>
    <w:p w14:paraId="466442F8" w14:textId="27F13F1E"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11</w:t>
      </w:r>
      <w:r w:rsidRPr="00941D7C">
        <w:rPr>
          <w:rStyle w:val="HideTWBExt"/>
          <w:lang w:val="en-GB"/>
        </w:rPr>
        <w:t>&lt;/NumAm&gt;</w:t>
      </w:r>
    </w:p>
    <w:p w14:paraId="0F69EC54"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6D9C09E3" w14:textId="77777777" w:rsidR="00EE4038" w:rsidRPr="00941D7C" w:rsidRDefault="00EE4038" w:rsidP="00EE4038">
      <w:pPr>
        <w:pStyle w:val="NormalBold"/>
      </w:pPr>
      <w:r w:rsidRPr="00941D7C">
        <w:rPr>
          <w:rStyle w:val="HideTWBExt"/>
        </w:rPr>
        <w:t>&lt;Article&gt;</w:t>
      </w:r>
      <w:r w:rsidRPr="00941D7C">
        <w:t>Recital 17</w:t>
      </w:r>
      <w:r w:rsidRPr="00941D7C">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6A9149C4" w14:textId="77777777" w:rsidTr="00EE4038">
        <w:trPr>
          <w:jc w:val="center"/>
        </w:trPr>
        <w:tc>
          <w:tcPr>
            <w:tcW w:w="9752" w:type="dxa"/>
            <w:gridSpan w:val="2"/>
          </w:tcPr>
          <w:p w14:paraId="16342C39" w14:textId="77777777" w:rsidR="00EE4038" w:rsidRPr="00941D7C" w:rsidRDefault="00EE4038">
            <w:pPr>
              <w:keepNext/>
            </w:pPr>
          </w:p>
        </w:tc>
      </w:tr>
      <w:tr w:rsidR="00EE4038" w:rsidRPr="00941D7C" w14:paraId="373640B2" w14:textId="77777777" w:rsidTr="00EE4038">
        <w:trPr>
          <w:jc w:val="center"/>
        </w:trPr>
        <w:tc>
          <w:tcPr>
            <w:tcW w:w="4876" w:type="dxa"/>
            <w:hideMark/>
          </w:tcPr>
          <w:p w14:paraId="62C7D3D8"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2716F809" w14:textId="77777777" w:rsidR="00EE4038" w:rsidRPr="00941D7C" w:rsidRDefault="00EE4038">
            <w:pPr>
              <w:pStyle w:val="ColumnHeading"/>
              <w:keepNext/>
              <w:rPr>
                <w:lang w:val="en-GB"/>
              </w:rPr>
            </w:pPr>
            <w:r w:rsidRPr="00941D7C">
              <w:rPr>
                <w:lang w:val="en-GB"/>
              </w:rPr>
              <w:t>Amendment</w:t>
            </w:r>
          </w:p>
        </w:tc>
      </w:tr>
      <w:tr w:rsidR="00EE4038" w:rsidRPr="00941D7C" w14:paraId="428F06F6" w14:textId="77777777" w:rsidTr="00EE4038">
        <w:trPr>
          <w:jc w:val="center"/>
        </w:trPr>
        <w:tc>
          <w:tcPr>
            <w:tcW w:w="4876" w:type="dxa"/>
            <w:hideMark/>
          </w:tcPr>
          <w:p w14:paraId="375CB4D2" w14:textId="77777777" w:rsidR="00EE4038" w:rsidRPr="00941D7C" w:rsidRDefault="00EE4038">
            <w:pPr>
              <w:pStyle w:val="Normal6"/>
              <w:rPr>
                <w:lang w:val="en-GB"/>
              </w:rPr>
            </w:pPr>
            <w:r w:rsidRPr="00941D7C">
              <w:rPr>
                <w:lang w:val="en-GB"/>
              </w:rPr>
              <w:t>(17)</w:t>
            </w:r>
            <w:r w:rsidRPr="00941D7C">
              <w:rPr>
                <w:lang w:val="en-GB"/>
              </w:rPr>
              <w:tab/>
              <w:t xml:space="preserve">Pursuant to Article 40a(1), fourth and fifth </w:t>
            </w:r>
            <w:r w:rsidRPr="00941D7C">
              <w:rPr>
                <w:b/>
                <w:i/>
                <w:lang w:val="en-GB"/>
              </w:rPr>
              <w:t>subparagraph</w:t>
            </w:r>
            <w:r w:rsidRPr="00941D7C">
              <w:rPr>
                <w:lang w:val="en-GB"/>
              </w:rPr>
              <w:t xml:space="preserve"> of Directive 2013/34/EU, a subsidiary in the Union of a third-county undertaking that generates a net turnover of more than EUR 150 million in the Union, or, in the absence of such subsidiary, a branch in the Union that generates a net turnover of more than EUR 40 million, is to publish and make accessible sustainability information at the group level of the third-country parent undertaking. </w:t>
            </w:r>
            <w:r w:rsidRPr="00941D7C">
              <w:rPr>
                <w:b/>
                <w:i/>
                <w:lang w:val="en-GB"/>
              </w:rPr>
              <w:t>To reach closer alignment with</w:t>
            </w:r>
            <w:r w:rsidRPr="00941D7C">
              <w:rPr>
                <w:lang w:val="en-GB"/>
              </w:rPr>
              <w:t xml:space="preserve"> </w:t>
            </w:r>
            <w:r w:rsidRPr="00941D7C">
              <w:rPr>
                <w:b/>
                <w:i/>
                <w:lang w:val="en-GB"/>
              </w:rPr>
              <w:t>the</w:t>
            </w:r>
            <w:r w:rsidRPr="00941D7C">
              <w:rPr>
                <w:lang w:val="en-GB"/>
              </w:rPr>
              <w:t xml:space="preserve"> criteria used to </w:t>
            </w:r>
            <w:r w:rsidRPr="00941D7C">
              <w:rPr>
                <w:b/>
                <w:i/>
                <w:lang w:val="en-GB"/>
              </w:rPr>
              <w:t>define</w:t>
            </w:r>
            <w:r w:rsidRPr="00941D7C">
              <w:rPr>
                <w:lang w:val="en-GB"/>
              </w:rPr>
              <w:t xml:space="preserve"> </w:t>
            </w:r>
            <w:r w:rsidRPr="00941D7C">
              <w:rPr>
                <w:b/>
                <w:i/>
                <w:lang w:val="en-GB"/>
              </w:rPr>
              <w:t>which</w:t>
            </w:r>
            <w:r w:rsidRPr="00941D7C">
              <w:rPr>
                <w:lang w:val="en-GB"/>
              </w:rPr>
              <w:t xml:space="preserve"> undertakings </w:t>
            </w:r>
            <w:r w:rsidRPr="00941D7C">
              <w:rPr>
                <w:b/>
                <w:i/>
                <w:lang w:val="en-GB"/>
              </w:rPr>
              <w:t>are in</w:t>
            </w:r>
            <w:r w:rsidRPr="00941D7C">
              <w:rPr>
                <w:lang w:val="en-GB"/>
              </w:rPr>
              <w:t xml:space="preserve"> the scope of Directive (EU) 2024/1760</w:t>
            </w:r>
            <w:r w:rsidRPr="00941D7C">
              <w:rPr>
                <w:b/>
                <w:i/>
                <w:lang w:val="en-GB"/>
              </w:rPr>
              <w:t>, the net turnover threshold for the third-country undertaking should be raised from EUR 150 000 000 to EUR 450 000 000</w:t>
            </w:r>
            <w:r w:rsidRPr="00941D7C">
              <w:rPr>
                <w:lang w:val="en-GB"/>
              </w:rPr>
              <w:t xml:space="preserve">. For reasons of consistency and burden reduction, the size for a subsidiary undertaking and a branch to be in scope of Article 40a should be adjusted. The size of the subsidiary undertaking should be </w:t>
            </w:r>
            <w:r w:rsidRPr="00941D7C">
              <w:rPr>
                <w:b/>
                <w:i/>
                <w:lang w:val="en-GB"/>
              </w:rPr>
              <w:t>that of a large undertaking</w:t>
            </w:r>
            <w:r w:rsidRPr="00941D7C">
              <w:rPr>
                <w:lang w:val="en-GB"/>
              </w:rPr>
              <w:t xml:space="preserve">, whilst the net turnover criteria for the branch should be raised from EUR </w:t>
            </w:r>
            <w:r w:rsidRPr="00941D7C">
              <w:rPr>
                <w:b/>
                <w:i/>
                <w:lang w:val="en-GB"/>
              </w:rPr>
              <w:t>40 000 000</w:t>
            </w:r>
            <w:r w:rsidRPr="00941D7C">
              <w:rPr>
                <w:lang w:val="en-GB"/>
              </w:rPr>
              <w:t xml:space="preserve"> to EUR </w:t>
            </w:r>
            <w:r w:rsidRPr="00941D7C">
              <w:rPr>
                <w:b/>
                <w:i/>
                <w:lang w:val="en-GB"/>
              </w:rPr>
              <w:t>50 000 000, to align with the net turnover threshold for large undertakings</w:t>
            </w:r>
            <w:r w:rsidRPr="00941D7C">
              <w:rPr>
                <w:lang w:val="en-GB"/>
              </w:rPr>
              <w:t>.</w:t>
            </w:r>
          </w:p>
        </w:tc>
        <w:tc>
          <w:tcPr>
            <w:tcW w:w="4876" w:type="dxa"/>
            <w:hideMark/>
          </w:tcPr>
          <w:p w14:paraId="7A91B30E" w14:textId="297934BD" w:rsidR="00EE4038" w:rsidRPr="00941D7C" w:rsidRDefault="00EE4038" w:rsidP="006A06F5">
            <w:pPr>
              <w:pStyle w:val="Normal6"/>
              <w:rPr>
                <w:szCs w:val="24"/>
                <w:lang w:val="en-GB"/>
              </w:rPr>
            </w:pPr>
            <w:r w:rsidRPr="00941D7C">
              <w:rPr>
                <w:lang w:val="en-GB"/>
              </w:rPr>
              <w:t>(17)</w:t>
            </w:r>
            <w:r w:rsidRPr="00941D7C">
              <w:rPr>
                <w:lang w:val="en-GB"/>
              </w:rPr>
              <w:tab/>
              <w:t xml:space="preserve">Pursuant to Article 40a(1), fourth and fifth </w:t>
            </w:r>
            <w:r w:rsidRPr="00941D7C">
              <w:rPr>
                <w:b/>
                <w:i/>
                <w:lang w:val="en-GB"/>
              </w:rPr>
              <w:t>subparagraph</w:t>
            </w:r>
            <w:r w:rsidR="005D3964" w:rsidRPr="00941D7C">
              <w:rPr>
                <w:b/>
                <w:i/>
                <w:lang w:val="en-GB"/>
              </w:rPr>
              <w:t>s,</w:t>
            </w:r>
            <w:r w:rsidRPr="00941D7C">
              <w:rPr>
                <w:lang w:val="en-GB"/>
              </w:rPr>
              <w:t xml:space="preserve"> of Directive 2013/34/EU, a subsidiary in the Union of a third-county undertaking that generates a net turnover of more than EUR 150 million in the Union, or, in the absence of such subsidiary, a branch in the Union that generates a net turnover of more than EUR 40 million, is to publish and make accessible sustainability information at the group level of the third-country parent undertaking. </w:t>
            </w:r>
            <w:r w:rsidRPr="00941D7C">
              <w:rPr>
                <w:b/>
                <w:i/>
                <w:lang w:val="en-GB"/>
              </w:rPr>
              <w:t>The</w:t>
            </w:r>
            <w:r w:rsidRPr="00941D7C">
              <w:rPr>
                <w:lang w:val="en-GB"/>
              </w:rPr>
              <w:t xml:space="preserve"> criteria used to </w:t>
            </w:r>
            <w:r w:rsidR="005D3964" w:rsidRPr="00941D7C">
              <w:rPr>
                <w:b/>
                <w:i/>
                <w:lang w:val="en-GB"/>
              </w:rPr>
              <w:t>determine the</w:t>
            </w:r>
            <w:r w:rsidR="005D3964" w:rsidRPr="00941D7C">
              <w:rPr>
                <w:lang w:val="en-GB"/>
              </w:rPr>
              <w:t xml:space="preserve"> </w:t>
            </w:r>
            <w:r w:rsidRPr="00941D7C">
              <w:rPr>
                <w:b/>
                <w:i/>
                <w:lang w:val="en-GB"/>
              </w:rPr>
              <w:t>undertakings subject to reporting obligations</w:t>
            </w:r>
            <w:r w:rsidR="005D3964" w:rsidRPr="00941D7C">
              <w:rPr>
                <w:b/>
                <w:i/>
                <w:lang w:val="en-GB"/>
              </w:rPr>
              <w:t>,</w:t>
            </w:r>
            <w:r w:rsidRPr="00941D7C">
              <w:rPr>
                <w:b/>
                <w:i/>
                <w:lang w:val="en-GB"/>
              </w:rPr>
              <w:t xml:space="preserve"> whether formed in accordance with the </w:t>
            </w:r>
            <w:r w:rsidR="005D3964" w:rsidRPr="00941D7C">
              <w:rPr>
                <w:b/>
                <w:i/>
                <w:lang w:val="en-GB"/>
              </w:rPr>
              <w:t xml:space="preserve">law </w:t>
            </w:r>
            <w:r w:rsidRPr="00941D7C">
              <w:rPr>
                <w:b/>
                <w:i/>
                <w:lang w:val="en-GB"/>
              </w:rPr>
              <w:t>of a Member State or as subsidiaries and branches of third-country</w:t>
            </w:r>
            <w:r w:rsidRPr="00941D7C">
              <w:rPr>
                <w:lang w:val="en-GB"/>
              </w:rPr>
              <w:t xml:space="preserve"> undertakings</w:t>
            </w:r>
            <w:r w:rsidR="005D3964" w:rsidRPr="00941D7C">
              <w:rPr>
                <w:b/>
                <w:i/>
                <w:lang w:val="en-GB"/>
              </w:rPr>
              <w:t>,</w:t>
            </w:r>
            <w:r w:rsidRPr="00941D7C">
              <w:rPr>
                <w:lang w:val="en-GB"/>
              </w:rPr>
              <w:t xml:space="preserve"> </w:t>
            </w:r>
            <w:r w:rsidRPr="00941D7C">
              <w:rPr>
                <w:b/>
                <w:i/>
                <w:lang w:val="en-GB"/>
              </w:rPr>
              <w:t>should be aligned and consistent with</w:t>
            </w:r>
            <w:r w:rsidRPr="00941D7C">
              <w:rPr>
                <w:lang w:val="en-GB"/>
              </w:rPr>
              <w:t xml:space="preserve"> the scope of Directive (EU) 2024/1760. For reasons of consistency and burden reduction</w:t>
            </w:r>
            <w:r w:rsidRPr="00941D7C">
              <w:rPr>
                <w:b/>
                <w:i/>
                <w:lang w:val="en-GB"/>
              </w:rPr>
              <w:t xml:space="preserve">, and </w:t>
            </w:r>
            <w:proofErr w:type="gramStart"/>
            <w:r w:rsidR="005D3964" w:rsidRPr="00941D7C">
              <w:rPr>
                <w:b/>
                <w:i/>
                <w:lang w:val="en-GB"/>
              </w:rPr>
              <w:t>in order to</w:t>
            </w:r>
            <w:proofErr w:type="gramEnd"/>
            <w:r w:rsidR="005D3964" w:rsidRPr="00941D7C">
              <w:rPr>
                <w:b/>
                <w:i/>
                <w:lang w:val="en-GB"/>
              </w:rPr>
              <w:t xml:space="preserve"> </w:t>
            </w:r>
            <w:r w:rsidRPr="00941D7C">
              <w:rPr>
                <w:b/>
                <w:i/>
                <w:lang w:val="en-GB"/>
              </w:rPr>
              <w:t>ensur</w:t>
            </w:r>
            <w:r w:rsidR="005D3964" w:rsidRPr="00941D7C">
              <w:rPr>
                <w:b/>
                <w:i/>
                <w:lang w:val="en-GB"/>
              </w:rPr>
              <w:t>e</w:t>
            </w:r>
            <w:r w:rsidRPr="00941D7C">
              <w:rPr>
                <w:b/>
                <w:i/>
                <w:lang w:val="en-GB"/>
              </w:rPr>
              <w:t xml:space="preserve"> a level playing field</w:t>
            </w:r>
            <w:r w:rsidRPr="00941D7C">
              <w:rPr>
                <w:lang w:val="en-GB"/>
              </w:rPr>
              <w:t xml:space="preserve">, the size for a subsidiary undertaking and a branch to be in scope of Article 40a should be adjusted. The size of the subsidiary undertaking should be </w:t>
            </w:r>
            <w:r w:rsidRPr="00941D7C">
              <w:rPr>
                <w:b/>
                <w:i/>
                <w:lang w:val="en-GB"/>
              </w:rPr>
              <w:t xml:space="preserve">set </w:t>
            </w:r>
            <w:r w:rsidR="005D3964" w:rsidRPr="00941D7C">
              <w:rPr>
                <w:b/>
                <w:i/>
                <w:lang w:val="en-GB"/>
              </w:rPr>
              <w:t>at undertakings</w:t>
            </w:r>
            <w:r w:rsidR="005D3964" w:rsidRPr="00941D7C">
              <w:rPr>
                <w:lang w:val="en-GB"/>
              </w:rPr>
              <w:t xml:space="preserve"> </w:t>
            </w:r>
            <w:r w:rsidR="005D3964" w:rsidRPr="00941D7C">
              <w:rPr>
                <w:b/>
                <w:i/>
                <w:lang w:val="en-GB"/>
              </w:rPr>
              <w:t>with more than</w:t>
            </w:r>
            <w:r w:rsidR="005D3964" w:rsidRPr="00941D7C">
              <w:rPr>
                <w:lang w:val="en-GB"/>
              </w:rPr>
              <w:t xml:space="preserve"> </w:t>
            </w:r>
            <w:r w:rsidRPr="00941D7C">
              <w:rPr>
                <w:b/>
                <w:i/>
                <w:lang w:val="en-GB"/>
              </w:rPr>
              <w:t xml:space="preserve">3000 employees and </w:t>
            </w:r>
            <w:r w:rsidR="005D3964" w:rsidRPr="00941D7C">
              <w:rPr>
                <w:b/>
                <w:i/>
                <w:lang w:val="en-GB"/>
              </w:rPr>
              <w:t xml:space="preserve">with </w:t>
            </w:r>
            <w:r w:rsidRPr="00941D7C">
              <w:rPr>
                <w:b/>
                <w:i/>
                <w:lang w:val="en-GB"/>
              </w:rPr>
              <w:t xml:space="preserve">a net turnover of </w:t>
            </w:r>
            <w:r w:rsidR="005D3964" w:rsidRPr="00941D7C">
              <w:rPr>
                <w:b/>
                <w:i/>
                <w:lang w:val="en-GB"/>
              </w:rPr>
              <w:t xml:space="preserve">more than </w:t>
            </w:r>
            <w:r w:rsidRPr="00941D7C">
              <w:rPr>
                <w:b/>
                <w:i/>
                <w:lang w:val="en-GB"/>
              </w:rPr>
              <w:t>EUR 450 000 000</w:t>
            </w:r>
            <w:r w:rsidRPr="00941D7C">
              <w:rPr>
                <w:lang w:val="en-GB"/>
              </w:rPr>
              <w:t xml:space="preserve">, whilst the net turnover criteria for the branch should be raised from EUR </w:t>
            </w:r>
            <w:r w:rsidRPr="00941D7C">
              <w:rPr>
                <w:b/>
                <w:i/>
                <w:lang w:val="en-GB"/>
              </w:rPr>
              <w:t>40 000 000</w:t>
            </w:r>
            <w:r w:rsidRPr="00941D7C">
              <w:rPr>
                <w:lang w:val="en-GB"/>
              </w:rPr>
              <w:t xml:space="preserve"> to EUR </w:t>
            </w:r>
            <w:r w:rsidRPr="00941D7C">
              <w:rPr>
                <w:b/>
                <w:i/>
                <w:lang w:val="en-GB"/>
              </w:rPr>
              <w:t>450 000 000</w:t>
            </w:r>
            <w:r w:rsidRPr="00941D7C">
              <w:rPr>
                <w:lang w:val="en-GB"/>
              </w:rPr>
              <w:t>.</w:t>
            </w:r>
          </w:p>
        </w:tc>
      </w:tr>
    </w:tbl>
    <w:p w14:paraId="040AF459"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334C99CE" w14:textId="77777777" w:rsidR="00EE4038" w:rsidRPr="00941D7C" w:rsidRDefault="00EE4038" w:rsidP="00EE4038">
      <w:r w:rsidRPr="00941D7C">
        <w:rPr>
          <w:rStyle w:val="HideTWBExt"/>
        </w:rPr>
        <w:t>&lt;/Amend&gt;</w:t>
      </w:r>
    </w:p>
    <w:p w14:paraId="1CB53267" w14:textId="29E90290"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12</w:t>
      </w:r>
      <w:r w:rsidRPr="00941D7C">
        <w:rPr>
          <w:rStyle w:val="HideTWBExt"/>
          <w:lang w:val="en-GB"/>
        </w:rPr>
        <w:t>&lt;/NumAm&gt;</w:t>
      </w:r>
    </w:p>
    <w:p w14:paraId="6E5B6697"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437BB281" w14:textId="77777777" w:rsidR="00EE4038" w:rsidRPr="00941D7C" w:rsidRDefault="00EE4038" w:rsidP="00EE4038">
      <w:pPr>
        <w:pStyle w:val="NormalBold"/>
      </w:pPr>
      <w:r w:rsidRPr="00941D7C">
        <w:rPr>
          <w:rStyle w:val="HideTWBExt"/>
        </w:rPr>
        <w:t>&lt;Article&gt;</w:t>
      </w:r>
      <w:r w:rsidRPr="00941D7C">
        <w:t>Recital 18</w:t>
      </w:r>
      <w:r w:rsidRPr="00941D7C">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5A09F97E" w14:textId="77777777" w:rsidTr="00EE4038">
        <w:trPr>
          <w:jc w:val="center"/>
        </w:trPr>
        <w:tc>
          <w:tcPr>
            <w:tcW w:w="9752" w:type="dxa"/>
            <w:gridSpan w:val="2"/>
          </w:tcPr>
          <w:p w14:paraId="7B7BDE3E" w14:textId="77777777" w:rsidR="00EE4038" w:rsidRPr="00941D7C" w:rsidRDefault="00EE4038">
            <w:pPr>
              <w:keepNext/>
            </w:pPr>
          </w:p>
        </w:tc>
      </w:tr>
      <w:tr w:rsidR="00EE4038" w:rsidRPr="00941D7C" w14:paraId="7F9EE6F4" w14:textId="77777777" w:rsidTr="00EE4038">
        <w:trPr>
          <w:jc w:val="center"/>
        </w:trPr>
        <w:tc>
          <w:tcPr>
            <w:tcW w:w="4876" w:type="dxa"/>
            <w:hideMark/>
          </w:tcPr>
          <w:p w14:paraId="4BB5321C"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01504620" w14:textId="77777777" w:rsidR="00EE4038" w:rsidRPr="00941D7C" w:rsidRDefault="00EE4038">
            <w:pPr>
              <w:pStyle w:val="ColumnHeading"/>
              <w:keepNext/>
              <w:rPr>
                <w:lang w:val="en-GB"/>
              </w:rPr>
            </w:pPr>
            <w:r w:rsidRPr="00941D7C">
              <w:rPr>
                <w:lang w:val="en-GB"/>
              </w:rPr>
              <w:t>Amendment</w:t>
            </w:r>
          </w:p>
        </w:tc>
      </w:tr>
      <w:tr w:rsidR="00EE4038" w:rsidRPr="00941D7C" w14:paraId="153B2891" w14:textId="77777777" w:rsidTr="00EE4038">
        <w:trPr>
          <w:jc w:val="center"/>
        </w:trPr>
        <w:tc>
          <w:tcPr>
            <w:tcW w:w="4876" w:type="dxa"/>
            <w:hideMark/>
          </w:tcPr>
          <w:p w14:paraId="0E0F1ABA" w14:textId="77777777" w:rsidR="00EE4038" w:rsidRPr="00941D7C" w:rsidRDefault="00EE4038">
            <w:pPr>
              <w:pStyle w:val="Normal6"/>
              <w:rPr>
                <w:lang w:val="en-GB"/>
              </w:rPr>
            </w:pPr>
            <w:r w:rsidRPr="00941D7C">
              <w:rPr>
                <w:lang w:val="en-GB"/>
              </w:rPr>
              <w:t>(18)</w:t>
            </w:r>
            <w:r w:rsidRPr="00941D7C">
              <w:rPr>
                <w:lang w:val="en-GB"/>
              </w:rPr>
              <w:tab/>
              <w:t xml:space="preserve">Article 5(2), </w:t>
            </w:r>
            <w:proofErr w:type="gramStart"/>
            <w:r w:rsidRPr="00941D7C">
              <w:rPr>
                <w:lang w:val="en-GB"/>
              </w:rPr>
              <w:t>first subparagraph,</w:t>
            </w:r>
            <w:proofErr w:type="gramEnd"/>
            <w:r w:rsidRPr="00941D7C">
              <w:rPr>
                <w:lang w:val="en-GB"/>
              </w:rPr>
              <w:t xml:space="preserve"> of Directive (EU) 2022/2464 specifies the dates by which the Member States are to apply the sustainability reporting requirements set out in Directive 2013/34/EU, with different dates depending on the size of the undertaking concerned. Considering that the scope of the individual sustainability reporting requirements should be reduced to include only </w:t>
            </w:r>
            <w:r w:rsidRPr="00941D7C">
              <w:rPr>
                <w:b/>
                <w:i/>
                <w:lang w:val="en-GB"/>
              </w:rPr>
              <w:t>large</w:t>
            </w:r>
            <w:r w:rsidRPr="00941D7C">
              <w:rPr>
                <w:lang w:val="en-GB"/>
              </w:rPr>
              <w:t xml:space="preserve"> undertakings with more than </w:t>
            </w:r>
            <w:r w:rsidRPr="00941D7C">
              <w:rPr>
                <w:b/>
                <w:i/>
                <w:lang w:val="en-GB"/>
              </w:rPr>
              <w:t>1000</w:t>
            </w:r>
            <w:r w:rsidRPr="00941D7C">
              <w:rPr>
                <w:lang w:val="en-GB"/>
              </w:rPr>
              <w:t xml:space="preserve"> employees on average during the financial year, and that the scope of the consolidated sustainability reporting requirements should be reduced accordingly, the criteria for determining the dates of application should be adjusted, and the reference to small and medium-sized undertakings with securities admitted to trading on an EU regulated market should be removed.</w:t>
            </w:r>
          </w:p>
        </w:tc>
        <w:tc>
          <w:tcPr>
            <w:tcW w:w="4876" w:type="dxa"/>
            <w:hideMark/>
          </w:tcPr>
          <w:p w14:paraId="748108CA" w14:textId="77777777" w:rsidR="00EE4038" w:rsidRPr="00941D7C" w:rsidRDefault="00EE4038">
            <w:pPr>
              <w:pStyle w:val="Normal6"/>
              <w:rPr>
                <w:szCs w:val="24"/>
                <w:lang w:val="en-GB"/>
              </w:rPr>
            </w:pPr>
            <w:r w:rsidRPr="00941D7C">
              <w:rPr>
                <w:lang w:val="en-GB"/>
              </w:rPr>
              <w:t>(18)</w:t>
            </w:r>
            <w:r w:rsidRPr="00941D7C">
              <w:rPr>
                <w:lang w:val="en-GB"/>
              </w:rPr>
              <w:tab/>
              <w:t xml:space="preserve">Article 5(2), </w:t>
            </w:r>
            <w:proofErr w:type="gramStart"/>
            <w:r w:rsidRPr="00941D7C">
              <w:rPr>
                <w:lang w:val="en-GB"/>
              </w:rPr>
              <w:t>first subparagraph,</w:t>
            </w:r>
            <w:proofErr w:type="gramEnd"/>
            <w:r w:rsidRPr="00941D7C">
              <w:rPr>
                <w:lang w:val="en-GB"/>
              </w:rPr>
              <w:t xml:space="preserve"> of Directive (EU) 2022/2464 specifies the dates by which the Member States are to apply the sustainability reporting requirements set out in Directive 2013/34/EU, with different dates depending on the size of the undertaking concerned. Considering that the scope of the individual sustainability reporting requirements should be reduced to include only undertakings with more than </w:t>
            </w:r>
            <w:r w:rsidRPr="00941D7C">
              <w:rPr>
                <w:b/>
                <w:i/>
                <w:lang w:val="en-GB"/>
              </w:rPr>
              <w:t>3000</w:t>
            </w:r>
            <w:r w:rsidRPr="00941D7C">
              <w:rPr>
                <w:lang w:val="en-GB"/>
              </w:rPr>
              <w:t xml:space="preserve"> employees </w:t>
            </w:r>
            <w:r w:rsidRPr="00941D7C">
              <w:rPr>
                <w:b/>
                <w:i/>
                <w:lang w:val="en-GB"/>
              </w:rPr>
              <w:t>and a net turnover of more than EUR 450 000 000</w:t>
            </w:r>
            <w:r w:rsidRPr="00941D7C">
              <w:rPr>
                <w:lang w:val="en-GB"/>
              </w:rPr>
              <w:t xml:space="preserve"> on average during the financial year, and that the scope of the consolidated sustainability reporting requirements should be reduced accordingly, the criteria for determining the dates of application should be adjusted, and the reference to small and medium-sized undertakings with securities admitted to trading on an EU regulated market should be removed.</w:t>
            </w:r>
          </w:p>
        </w:tc>
      </w:tr>
    </w:tbl>
    <w:p w14:paraId="19900DD5"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466F5EF9" w14:textId="77777777" w:rsidR="00EE4038" w:rsidRPr="00941D7C" w:rsidRDefault="00EE4038" w:rsidP="00EE4038">
      <w:r w:rsidRPr="00941D7C">
        <w:rPr>
          <w:rStyle w:val="HideTWBExt"/>
        </w:rPr>
        <w:t>&lt;/Amend&gt;</w:t>
      </w:r>
    </w:p>
    <w:p w14:paraId="399B51F2" w14:textId="6B142839"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13</w:t>
      </w:r>
      <w:r w:rsidRPr="00941D7C">
        <w:rPr>
          <w:rStyle w:val="HideTWBExt"/>
          <w:lang w:val="en-GB"/>
        </w:rPr>
        <w:t>&lt;/NumAm&gt;</w:t>
      </w:r>
    </w:p>
    <w:p w14:paraId="16A38270"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19CFCE25" w14:textId="77777777" w:rsidR="00EE4038" w:rsidRPr="00941D7C" w:rsidRDefault="00EE4038" w:rsidP="00EE4038">
      <w:pPr>
        <w:pStyle w:val="NormalBold"/>
      </w:pPr>
      <w:r w:rsidRPr="00941D7C">
        <w:rPr>
          <w:rStyle w:val="HideTWBExt"/>
        </w:rPr>
        <w:t>&lt;Article&gt;</w:t>
      </w:r>
      <w:r w:rsidRPr="00941D7C">
        <w:t>Recital 19</w:t>
      </w:r>
      <w:r w:rsidRPr="00941D7C">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06C1F2DE" w14:textId="77777777" w:rsidTr="00EE4038">
        <w:trPr>
          <w:jc w:val="center"/>
        </w:trPr>
        <w:tc>
          <w:tcPr>
            <w:tcW w:w="9752" w:type="dxa"/>
            <w:gridSpan w:val="2"/>
          </w:tcPr>
          <w:p w14:paraId="5424118B" w14:textId="77777777" w:rsidR="00EE4038" w:rsidRPr="00941D7C" w:rsidRDefault="00EE4038">
            <w:pPr>
              <w:keepNext/>
            </w:pPr>
          </w:p>
        </w:tc>
      </w:tr>
      <w:tr w:rsidR="00EE4038" w:rsidRPr="00941D7C" w14:paraId="46CE13F3" w14:textId="77777777" w:rsidTr="00EE4038">
        <w:trPr>
          <w:jc w:val="center"/>
        </w:trPr>
        <w:tc>
          <w:tcPr>
            <w:tcW w:w="4876" w:type="dxa"/>
            <w:hideMark/>
          </w:tcPr>
          <w:p w14:paraId="598EDB4E"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58802310" w14:textId="77777777" w:rsidR="00EE4038" w:rsidRPr="00941D7C" w:rsidRDefault="00EE4038">
            <w:pPr>
              <w:pStyle w:val="ColumnHeading"/>
              <w:keepNext/>
              <w:rPr>
                <w:lang w:val="en-GB"/>
              </w:rPr>
            </w:pPr>
            <w:r w:rsidRPr="00941D7C">
              <w:rPr>
                <w:lang w:val="en-GB"/>
              </w:rPr>
              <w:t>Amendment</w:t>
            </w:r>
          </w:p>
        </w:tc>
      </w:tr>
      <w:tr w:rsidR="00EE4038" w:rsidRPr="00941D7C" w14:paraId="4A190425" w14:textId="77777777" w:rsidTr="00EE4038">
        <w:trPr>
          <w:jc w:val="center"/>
        </w:trPr>
        <w:tc>
          <w:tcPr>
            <w:tcW w:w="4876" w:type="dxa"/>
            <w:hideMark/>
          </w:tcPr>
          <w:p w14:paraId="6AE023C5" w14:textId="77777777" w:rsidR="00EE4038" w:rsidRPr="00941D7C" w:rsidRDefault="00EE4038">
            <w:pPr>
              <w:pStyle w:val="Normal6"/>
              <w:rPr>
                <w:lang w:val="en-GB"/>
              </w:rPr>
            </w:pPr>
            <w:r w:rsidRPr="00941D7C">
              <w:rPr>
                <w:lang w:val="en-GB"/>
              </w:rPr>
              <w:t>(19)</w:t>
            </w:r>
            <w:r w:rsidRPr="00941D7C">
              <w:rPr>
                <w:lang w:val="en-GB"/>
              </w:rPr>
              <w:tab/>
              <w:t xml:space="preserve">Article 5(2), </w:t>
            </w:r>
            <w:proofErr w:type="gramStart"/>
            <w:r w:rsidRPr="00941D7C">
              <w:rPr>
                <w:lang w:val="en-GB"/>
              </w:rPr>
              <w:t>third subparagraph,</w:t>
            </w:r>
            <w:proofErr w:type="gramEnd"/>
            <w:r w:rsidRPr="00941D7C">
              <w:rPr>
                <w:lang w:val="en-GB"/>
              </w:rPr>
              <w:t xml:space="preserve"> of Directive (EU) 2022/2464 specifies the dates by which the Member States are to apply the sustainability reporting requirements set out in Directive 2004/109/EC, with different dates depending on the size of the issuer concerned. Considering that the scope of the individual sustainability reporting requirements should be reduced to include only </w:t>
            </w:r>
            <w:r w:rsidRPr="00941D7C">
              <w:rPr>
                <w:b/>
                <w:i/>
                <w:lang w:val="en-GB"/>
              </w:rPr>
              <w:t>large</w:t>
            </w:r>
            <w:r w:rsidRPr="00941D7C">
              <w:rPr>
                <w:lang w:val="en-GB"/>
              </w:rPr>
              <w:t xml:space="preserve"> undertakings with more than </w:t>
            </w:r>
            <w:r w:rsidRPr="00941D7C">
              <w:rPr>
                <w:b/>
                <w:i/>
                <w:lang w:val="en-GB"/>
              </w:rPr>
              <w:t>1000</w:t>
            </w:r>
            <w:r w:rsidRPr="00941D7C">
              <w:rPr>
                <w:lang w:val="en-GB"/>
              </w:rPr>
              <w:t xml:space="preserve"> employees on average during the financial year, and that the scope of the consolidated sustainability reporting requirements should be reduced accordingly, the criteria for determining the dates of application should be adjusted, and the reference to small and medium-sized undertakings should be removed.</w:t>
            </w:r>
          </w:p>
        </w:tc>
        <w:tc>
          <w:tcPr>
            <w:tcW w:w="4876" w:type="dxa"/>
            <w:hideMark/>
          </w:tcPr>
          <w:p w14:paraId="33C93C3F" w14:textId="77777777" w:rsidR="00EE4038" w:rsidRPr="00941D7C" w:rsidRDefault="00EE4038">
            <w:pPr>
              <w:pStyle w:val="Normal6"/>
              <w:rPr>
                <w:szCs w:val="24"/>
                <w:lang w:val="en-GB"/>
              </w:rPr>
            </w:pPr>
            <w:r w:rsidRPr="00941D7C">
              <w:rPr>
                <w:lang w:val="en-GB"/>
              </w:rPr>
              <w:t>(19)</w:t>
            </w:r>
            <w:r w:rsidRPr="00941D7C">
              <w:rPr>
                <w:lang w:val="en-GB"/>
              </w:rPr>
              <w:tab/>
              <w:t xml:space="preserve">Article 5(2), </w:t>
            </w:r>
            <w:proofErr w:type="gramStart"/>
            <w:r w:rsidRPr="00941D7C">
              <w:rPr>
                <w:lang w:val="en-GB"/>
              </w:rPr>
              <w:t>third subparagraph,</w:t>
            </w:r>
            <w:proofErr w:type="gramEnd"/>
            <w:r w:rsidRPr="00941D7C">
              <w:rPr>
                <w:lang w:val="en-GB"/>
              </w:rPr>
              <w:t xml:space="preserve"> of Directive (EU) 2022/2464 specifies the dates by which the Member States are to apply the sustainability reporting requirements set out in Directive 2004/109/EC, with different dates depending on the size of the issuer concerned. Considering that the scope of the individual sustainability reporting requirements should be reduced to include only undertakings with more than </w:t>
            </w:r>
            <w:r w:rsidRPr="00941D7C">
              <w:rPr>
                <w:b/>
                <w:i/>
                <w:lang w:val="en-GB"/>
              </w:rPr>
              <w:t>3000</w:t>
            </w:r>
            <w:r w:rsidRPr="00941D7C">
              <w:rPr>
                <w:lang w:val="en-GB"/>
              </w:rPr>
              <w:t xml:space="preserve"> employees </w:t>
            </w:r>
            <w:r w:rsidRPr="00941D7C">
              <w:rPr>
                <w:b/>
                <w:i/>
                <w:lang w:val="en-GB"/>
              </w:rPr>
              <w:t>and a net turnover of more than EUR 450 000 000</w:t>
            </w:r>
            <w:r w:rsidRPr="00941D7C">
              <w:rPr>
                <w:lang w:val="en-GB"/>
              </w:rPr>
              <w:t xml:space="preserve"> on average during the financial year, and that the scope of the consolidated sustainability reporting requirements should be reduced accordingly, the criteria for determining the dates of application should be adjusted, and the reference to small and medium-sized undertakings should be removed.</w:t>
            </w:r>
          </w:p>
        </w:tc>
      </w:tr>
    </w:tbl>
    <w:p w14:paraId="3CC0CF51"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4BDE2207" w14:textId="77777777" w:rsidR="00EE4038" w:rsidRPr="00941D7C" w:rsidRDefault="00EE4038" w:rsidP="00EE4038">
      <w:r w:rsidRPr="00941D7C">
        <w:rPr>
          <w:rStyle w:val="HideTWBExt"/>
        </w:rPr>
        <w:t>&lt;/Amend&gt;</w:t>
      </w:r>
    </w:p>
    <w:p w14:paraId="23CC4AF3" w14:textId="7F5811B5"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14</w:t>
      </w:r>
      <w:r w:rsidRPr="00941D7C">
        <w:rPr>
          <w:rStyle w:val="HideTWBExt"/>
          <w:lang w:val="en-GB"/>
        </w:rPr>
        <w:t>&lt;/NumAm&gt;</w:t>
      </w:r>
    </w:p>
    <w:p w14:paraId="6F640F09"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6CA1C666" w14:textId="77777777" w:rsidR="00EE4038" w:rsidRPr="00941D7C" w:rsidRDefault="00EE4038" w:rsidP="00EE4038">
      <w:pPr>
        <w:pStyle w:val="NormalBold"/>
      </w:pPr>
      <w:r w:rsidRPr="00941D7C">
        <w:rPr>
          <w:rStyle w:val="HideTWBExt"/>
        </w:rPr>
        <w:t>&lt;Article&gt;</w:t>
      </w:r>
      <w:r w:rsidRPr="00941D7C">
        <w:t>Recital 20</w:t>
      </w:r>
      <w:r w:rsidRPr="00941D7C">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1BD8AB8E" w14:textId="77777777" w:rsidTr="00EE4038">
        <w:trPr>
          <w:jc w:val="center"/>
        </w:trPr>
        <w:tc>
          <w:tcPr>
            <w:tcW w:w="9752" w:type="dxa"/>
            <w:gridSpan w:val="2"/>
          </w:tcPr>
          <w:p w14:paraId="15453A42" w14:textId="77777777" w:rsidR="00EE4038" w:rsidRPr="00941D7C" w:rsidRDefault="00EE4038">
            <w:pPr>
              <w:keepNext/>
            </w:pPr>
          </w:p>
        </w:tc>
      </w:tr>
      <w:tr w:rsidR="00EE4038" w:rsidRPr="00941D7C" w14:paraId="1CBFF08C" w14:textId="77777777" w:rsidTr="00EE4038">
        <w:trPr>
          <w:jc w:val="center"/>
        </w:trPr>
        <w:tc>
          <w:tcPr>
            <w:tcW w:w="4876" w:type="dxa"/>
            <w:hideMark/>
          </w:tcPr>
          <w:p w14:paraId="623A1531"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694BD1E3" w14:textId="77777777" w:rsidR="00EE4038" w:rsidRPr="00941D7C" w:rsidRDefault="00EE4038">
            <w:pPr>
              <w:pStyle w:val="ColumnHeading"/>
              <w:keepNext/>
              <w:rPr>
                <w:lang w:val="en-GB"/>
              </w:rPr>
            </w:pPr>
            <w:r w:rsidRPr="00941D7C">
              <w:rPr>
                <w:lang w:val="en-GB"/>
              </w:rPr>
              <w:t>Amendment</w:t>
            </w:r>
          </w:p>
        </w:tc>
      </w:tr>
      <w:tr w:rsidR="00EE4038" w:rsidRPr="00941D7C" w14:paraId="5D32D8E6" w14:textId="77777777" w:rsidTr="00EE4038">
        <w:trPr>
          <w:jc w:val="center"/>
        </w:trPr>
        <w:tc>
          <w:tcPr>
            <w:tcW w:w="4876" w:type="dxa"/>
            <w:hideMark/>
          </w:tcPr>
          <w:p w14:paraId="0A7BE0BD" w14:textId="77777777" w:rsidR="00EE4038" w:rsidRPr="00941D7C" w:rsidRDefault="00EE4038">
            <w:pPr>
              <w:pStyle w:val="Normal6"/>
              <w:rPr>
                <w:lang w:val="en-GB"/>
              </w:rPr>
            </w:pPr>
            <w:r w:rsidRPr="00941D7C">
              <w:rPr>
                <w:lang w:val="en-GB"/>
              </w:rPr>
              <w:t>(20)</w:t>
            </w:r>
            <w:r w:rsidRPr="00941D7C">
              <w:rPr>
                <w:lang w:val="en-GB"/>
              </w:rPr>
              <w:tab/>
              <w:t>Article 4(1) of Directive (EU) 2024/1760 prohibits Member States from introducing, in their national law, provisions within the field covered by the Directive laying down human rights and environmental due diligence obligations diverging from those laid down in Article 8(1) and (2), and Article 10(1) of that Directive. To ensure that Member States do not go beyond that Directive and to avoid the creation of a fragmented regulatory landscape resulting in legal uncertainty and unnecessary burden, the full harmonisation provisions of Directive (EU) 2024/1760 should be expanded to additional provisions regulating the core aspects of the due diligence process. That includes</w:t>
            </w:r>
            <w:proofErr w:type="gramStart"/>
            <w:r w:rsidRPr="00941D7C">
              <w:rPr>
                <w:lang w:val="en-GB"/>
              </w:rPr>
              <w:t>, in particular, the</w:t>
            </w:r>
            <w:proofErr w:type="gramEnd"/>
            <w:r w:rsidRPr="00941D7C">
              <w:rPr>
                <w:lang w:val="en-GB"/>
              </w:rPr>
              <w:t xml:space="preserve"> identification duty, the duties to address adverse impacts that have been or should have been identified, the duties to engage with stakeholders in certain cases, and the duty to provide for a complaints and notification mechanism</w:t>
            </w:r>
            <w:r w:rsidRPr="00941D7C">
              <w:rPr>
                <w:b/>
                <w:i/>
                <w:lang w:val="en-GB"/>
              </w:rPr>
              <w:t>. At the same time, Member States should be allowed to introduce more stringent or more specific provisions on other aspects, including to address emerging risks linked to new products or services</w:t>
            </w:r>
            <w:r w:rsidRPr="00941D7C">
              <w:rPr>
                <w:lang w:val="en-GB"/>
              </w:rPr>
              <w:t>.</w:t>
            </w:r>
          </w:p>
        </w:tc>
        <w:tc>
          <w:tcPr>
            <w:tcW w:w="4876" w:type="dxa"/>
            <w:hideMark/>
          </w:tcPr>
          <w:p w14:paraId="4D6956C6" w14:textId="70AC4875" w:rsidR="00EE4038" w:rsidRPr="00941D7C" w:rsidRDefault="00EE4038" w:rsidP="006A06F5">
            <w:pPr>
              <w:pStyle w:val="Normal6"/>
              <w:rPr>
                <w:szCs w:val="24"/>
                <w:lang w:val="en-GB"/>
              </w:rPr>
            </w:pPr>
            <w:r w:rsidRPr="00941D7C">
              <w:rPr>
                <w:lang w:val="en-GB"/>
              </w:rPr>
              <w:t>(20)</w:t>
            </w:r>
            <w:r w:rsidRPr="00941D7C">
              <w:rPr>
                <w:lang w:val="en-GB"/>
              </w:rPr>
              <w:tab/>
              <w:t>Article 4(1) of Directive (EU) 2024/1760 prohibits Member States from introducing, in their national law, provisions within the field covered by the Directive laying down human rights and environmental due diligence obligations diverging from those laid down in Article 8(1) and (2), and Article 10(1) of that Directive. To ensure that Member States do not go beyond that Directive and to avoid the creation of a fragmented regulatory landscape resulting in legal uncertainty and unnecessary burden, the full harmonisation provisions of Directive (EU) 2024/1760 should be expanded to additional provisions regulating the core aspects of the due diligence process. That includes</w:t>
            </w:r>
            <w:proofErr w:type="gramStart"/>
            <w:r w:rsidRPr="00941D7C">
              <w:rPr>
                <w:lang w:val="en-GB"/>
              </w:rPr>
              <w:t>, in particular, the</w:t>
            </w:r>
            <w:proofErr w:type="gramEnd"/>
            <w:r w:rsidRPr="00941D7C">
              <w:rPr>
                <w:lang w:val="en-GB"/>
              </w:rPr>
              <w:t xml:space="preserve"> </w:t>
            </w:r>
            <w:r w:rsidR="005D3964" w:rsidRPr="00941D7C">
              <w:rPr>
                <w:b/>
                <w:i/>
                <w:lang w:val="en-GB"/>
              </w:rPr>
              <w:t xml:space="preserve">provisions on </w:t>
            </w:r>
            <w:r w:rsidRPr="00941D7C">
              <w:rPr>
                <w:b/>
                <w:i/>
                <w:lang w:val="en-GB"/>
              </w:rPr>
              <w:t>scope, definitions, due diligence at group level,</w:t>
            </w:r>
            <w:r w:rsidRPr="00941D7C">
              <w:rPr>
                <w:lang w:val="en-GB"/>
              </w:rPr>
              <w:t xml:space="preserve"> identification duty, the duties to address adverse impacts that have been or should have been identified</w:t>
            </w:r>
            <w:r w:rsidRPr="00941D7C">
              <w:rPr>
                <w:b/>
                <w:i/>
                <w:lang w:val="en-GB"/>
              </w:rPr>
              <w:t>, prioritisation</w:t>
            </w:r>
            <w:r w:rsidRPr="00941D7C">
              <w:rPr>
                <w:lang w:val="en-GB"/>
              </w:rPr>
              <w:t>, the duties to engage with stakeholders in certain cases, and the duty to provide for a complaints and notification mechanism</w:t>
            </w:r>
            <w:r w:rsidRPr="00941D7C">
              <w:rPr>
                <w:b/>
                <w:i/>
                <w:lang w:val="en-GB"/>
              </w:rPr>
              <w:t xml:space="preserve">, supervisory authorities and their powers, </w:t>
            </w:r>
            <w:r w:rsidR="005D3964" w:rsidRPr="00941D7C">
              <w:rPr>
                <w:b/>
                <w:i/>
                <w:lang w:val="en-GB"/>
              </w:rPr>
              <w:t>and</w:t>
            </w:r>
            <w:r w:rsidRPr="00941D7C">
              <w:rPr>
                <w:b/>
                <w:i/>
                <w:lang w:val="en-GB"/>
              </w:rPr>
              <w:t xml:space="preserve"> the substantiated concerns procedure</w:t>
            </w:r>
            <w:r w:rsidRPr="00941D7C">
              <w:rPr>
                <w:lang w:val="en-GB"/>
              </w:rPr>
              <w:t>.</w:t>
            </w:r>
          </w:p>
        </w:tc>
      </w:tr>
    </w:tbl>
    <w:p w14:paraId="02B7C9C6"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5FC458B7" w14:textId="77777777" w:rsidR="00EE4038" w:rsidRPr="00941D7C" w:rsidRDefault="00EE4038" w:rsidP="00EE4038">
      <w:r w:rsidRPr="00941D7C">
        <w:rPr>
          <w:rStyle w:val="HideTWBExt"/>
        </w:rPr>
        <w:t>&lt;/Amend&gt;</w:t>
      </w:r>
    </w:p>
    <w:p w14:paraId="0A8C4FA2" w14:textId="1C64AC83"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15</w:t>
      </w:r>
      <w:r w:rsidRPr="00941D7C">
        <w:rPr>
          <w:rStyle w:val="HideTWBExt"/>
          <w:lang w:val="en-GB"/>
        </w:rPr>
        <w:t>&lt;/NumAm&gt;</w:t>
      </w:r>
    </w:p>
    <w:p w14:paraId="43D7BA97"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461E0A4C" w14:textId="77777777" w:rsidR="00EE4038" w:rsidRPr="00941D7C" w:rsidRDefault="00EE4038" w:rsidP="00EE4038">
      <w:pPr>
        <w:pStyle w:val="NormalBold"/>
      </w:pPr>
      <w:r w:rsidRPr="00941D7C">
        <w:rPr>
          <w:rStyle w:val="HideTWBExt"/>
        </w:rPr>
        <w:t>&lt;Article&gt;</w:t>
      </w:r>
      <w:r w:rsidRPr="00941D7C">
        <w:t>Recital 21</w:t>
      </w:r>
      <w:r w:rsidRPr="00941D7C">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3CCCB222" w14:textId="77777777" w:rsidTr="00EE4038">
        <w:trPr>
          <w:jc w:val="center"/>
        </w:trPr>
        <w:tc>
          <w:tcPr>
            <w:tcW w:w="9752" w:type="dxa"/>
            <w:gridSpan w:val="2"/>
          </w:tcPr>
          <w:p w14:paraId="097DDE7A" w14:textId="77777777" w:rsidR="00EE4038" w:rsidRPr="00941D7C" w:rsidRDefault="00EE4038">
            <w:pPr>
              <w:keepNext/>
            </w:pPr>
          </w:p>
        </w:tc>
      </w:tr>
      <w:tr w:rsidR="00EE4038" w:rsidRPr="00941D7C" w14:paraId="1EB410CA" w14:textId="77777777" w:rsidTr="00EE4038">
        <w:trPr>
          <w:jc w:val="center"/>
        </w:trPr>
        <w:tc>
          <w:tcPr>
            <w:tcW w:w="4876" w:type="dxa"/>
            <w:hideMark/>
          </w:tcPr>
          <w:p w14:paraId="13DA8497"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411D5E36" w14:textId="77777777" w:rsidR="00EE4038" w:rsidRPr="00941D7C" w:rsidRDefault="00EE4038">
            <w:pPr>
              <w:pStyle w:val="ColumnHeading"/>
              <w:keepNext/>
              <w:rPr>
                <w:lang w:val="en-GB"/>
              </w:rPr>
            </w:pPr>
            <w:r w:rsidRPr="00941D7C">
              <w:rPr>
                <w:lang w:val="en-GB"/>
              </w:rPr>
              <w:t>Amendment</w:t>
            </w:r>
          </w:p>
        </w:tc>
      </w:tr>
      <w:tr w:rsidR="00EE4038" w:rsidRPr="00941D7C" w14:paraId="4DEC36D7" w14:textId="77777777" w:rsidTr="00EE4038">
        <w:trPr>
          <w:jc w:val="center"/>
        </w:trPr>
        <w:tc>
          <w:tcPr>
            <w:tcW w:w="4876" w:type="dxa"/>
            <w:hideMark/>
          </w:tcPr>
          <w:p w14:paraId="7CF4E0AF" w14:textId="77777777" w:rsidR="00EE4038" w:rsidRPr="00941D7C" w:rsidRDefault="00EE4038">
            <w:pPr>
              <w:pStyle w:val="Normal6"/>
              <w:rPr>
                <w:lang w:val="en-GB"/>
              </w:rPr>
            </w:pPr>
            <w:r w:rsidRPr="00941D7C">
              <w:rPr>
                <w:lang w:val="en-GB"/>
              </w:rPr>
              <w:t>(21)</w:t>
            </w:r>
            <w:r w:rsidRPr="00941D7C">
              <w:rPr>
                <w:lang w:val="en-GB"/>
              </w:rPr>
              <w:tab/>
              <w:t xml:space="preserve">Article 5 of Directive (EU) 2024/1760 obliges Member States to ensure that large companies above a certain size conduct risk-based human rights and environmental due diligence. To reduce burdens on companies that </w:t>
            </w:r>
            <w:proofErr w:type="gramStart"/>
            <w:r w:rsidRPr="00941D7C">
              <w:rPr>
                <w:lang w:val="en-GB"/>
              </w:rPr>
              <w:t>have to</w:t>
            </w:r>
            <w:proofErr w:type="gramEnd"/>
            <w:r w:rsidRPr="00941D7C">
              <w:rPr>
                <w:lang w:val="en-GB"/>
              </w:rPr>
              <w:t xml:space="preserve"> comply with that obligation, the required due diligence should, as a general rule, be limited to the company’s own operations, those of its subsidiaries and those of its direct business partners (‘tier 1’). Consequently, when it comes to business relationships, companies should, after </w:t>
            </w:r>
            <w:r w:rsidRPr="00941D7C">
              <w:rPr>
                <w:b/>
                <w:i/>
                <w:lang w:val="en-GB"/>
              </w:rPr>
              <w:t>having mapped</w:t>
            </w:r>
            <w:r w:rsidRPr="00941D7C">
              <w:rPr>
                <w:lang w:val="en-GB"/>
              </w:rPr>
              <w:t xml:space="preserve"> their chains of activities, </w:t>
            </w:r>
            <w:r w:rsidRPr="00941D7C">
              <w:rPr>
                <w:b/>
                <w:i/>
                <w:lang w:val="en-GB"/>
              </w:rPr>
              <w:t>be required to carry out in-depth assessments as regards</w:t>
            </w:r>
            <w:r w:rsidRPr="00941D7C">
              <w:rPr>
                <w:lang w:val="en-GB"/>
              </w:rPr>
              <w:t xml:space="preserve"> direct business partners </w:t>
            </w:r>
            <w:r w:rsidRPr="00941D7C">
              <w:rPr>
                <w:b/>
                <w:i/>
                <w:lang w:val="en-GB"/>
              </w:rPr>
              <w:t>only</w:t>
            </w:r>
            <w:r w:rsidRPr="00941D7C">
              <w:rPr>
                <w:lang w:val="en-GB"/>
              </w:rPr>
              <w:t xml:space="preserve">. Companies should, however, look beyond their direct business relationships where they have plausible information that suggests an adverse impact at the level of an indirect business partner. Plausible information means information of an objective character that allows the company to conclude that there is a reasonable likelihood that the information is true. This may be the case where the company concerned has received a complaint or is in the possession of information, for example through credible media or NGO reports, reports of recent incidents, or through recurring problems at certain locations about likely or actual harmful activities at the level of an indirect business partner. Where the company has such information, it should carry out </w:t>
            </w:r>
            <w:r w:rsidRPr="00941D7C">
              <w:rPr>
                <w:b/>
                <w:i/>
                <w:lang w:val="en-GB"/>
              </w:rPr>
              <w:t>an in-depth</w:t>
            </w:r>
            <w:r w:rsidRPr="00941D7C">
              <w:rPr>
                <w:lang w:val="en-GB"/>
              </w:rPr>
              <w:t xml:space="preserve"> assessment. Companies should also carry out </w:t>
            </w:r>
            <w:r w:rsidRPr="00941D7C">
              <w:rPr>
                <w:b/>
                <w:i/>
                <w:lang w:val="en-GB"/>
              </w:rPr>
              <w:t>in-depth</w:t>
            </w:r>
            <w:r w:rsidRPr="00941D7C">
              <w:rPr>
                <w:lang w:val="en-GB"/>
              </w:rPr>
              <w:t xml:space="preserve"> assessments with respect to adverse impacts arising beyond their direct business partner where the structure of this business relationship lacks economic rationale and suggests that it was chosen to remove an otherwise direct supplier with harmful activities from the purview of the company. Where the </w:t>
            </w:r>
            <w:r w:rsidRPr="00941D7C">
              <w:rPr>
                <w:b/>
                <w:i/>
                <w:lang w:val="en-GB"/>
              </w:rPr>
              <w:t>in-depth</w:t>
            </w:r>
            <w:r w:rsidRPr="00941D7C">
              <w:rPr>
                <w:lang w:val="en-GB"/>
              </w:rPr>
              <w:t xml:space="preserve"> assessment confirms the likelihood or existence of the adverse impact, it should then be deemed to be identified. </w:t>
            </w:r>
            <w:r w:rsidRPr="00941D7C">
              <w:rPr>
                <w:b/>
                <w:i/>
                <w:lang w:val="en-GB"/>
              </w:rPr>
              <w:t>In addition, companies should seek to ensure that their code of conduct – which is part of their due diligence policy and sets out the expectations as to how to protect human, including labour, rights and the environment in business operations – is followed throughout the chain of activities in accordance with contractual cascading and SME support.</w:t>
            </w:r>
          </w:p>
        </w:tc>
        <w:tc>
          <w:tcPr>
            <w:tcW w:w="4876" w:type="dxa"/>
            <w:hideMark/>
          </w:tcPr>
          <w:p w14:paraId="595C8878" w14:textId="4ADE9902" w:rsidR="00EE4038" w:rsidRPr="00941D7C" w:rsidRDefault="00EE4038" w:rsidP="006A06F5">
            <w:pPr>
              <w:pStyle w:val="Normal6"/>
              <w:rPr>
                <w:szCs w:val="24"/>
                <w:lang w:val="en-GB"/>
              </w:rPr>
            </w:pPr>
            <w:r w:rsidRPr="00941D7C">
              <w:rPr>
                <w:lang w:val="en-GB"/>
              </w:rPr>
              <w:t>(21)</w:t>
            </w:r>
            <w:r w:rsidRPr="00941D7C">
              <w:rPr>
                <w:lang w:val="en-GB"/>
              </w:rPr>
              <w:tab/>
              <w:t xml:space="preserve">Article 5 of Directive (EU) 2024/1760 obliges Member States to ensure that large companies above a certain size conduct risk-based human rights and environmental due diligence. To </w:t>
            </w:r>
            <w:r w:rsidRPr="00941D7C">
              <w:rPr>
                <w:b/>
                <w:i/>
                <w:lang w:val="en-GB"/>
              </w:rPr>
              <w:t>ensure effectiveness,</w:t>
            </w:r>
            <w:r w:rsidRPr="00941D7C">
              <w:rPr>
                <w:lang w:val="en-GB"/>
              </w:rPr>
              <w:t xml:space="preserve"> reduce burdens on companies that </w:t>
            </w:r>
            <w:proofErr w:type="gramStart"/>
            <w:r w:rsidRPr="00941D7C">
              <w:rPr>
                <w:lang w:val="en-GB"/>
              </w:rPr>
              <w:t>have to</w:t>
            </w:r>
            <w:proofErr w:type="gramEnd"/>
            <w:r w:rsidRPr="00941D7C">
              <w:rPr>
                <w:lang w:val="en-GB"/>
              </w:rPr>
              <w:t xml:space="preserve"> comply with that obligation </w:t>
            </w:r>
            <w:r w:rsidRPr="00941D7C">
              <w:rPr>
                <w:b/>
                <w:i/>
                <w:lang w:val="en-GB"/>
              </w:rPr>
              <w:t>and ensure that their resources are used purposefully</w:t>
            </w:r>
            <w:r w:rsidRPr="00941D7C">
              <w:rPr>
                <w:lang w:val="en-GB"/>
              </w:rPr>
              <w:t>, the required due diligence should, as a general rule, be limited to the company’s own operations, those of its subsidiaries and those of its direct business partners (‘tier 1’). Consequently, when it comes to business relationships</w:t>
            </w:r>
            <w:r w:rsidR="005D3964" w:rsidRPr="00941D7C">
              <w:rPr>
                <w:b/>
                <w:i/>
                <w:lang w:val="en-GB"/>
              </w:rPr>
              <w:t>,</w:t>
            </w:r>
            <w:r w:rsidRPr="00941D7C">
              <w:rPr>
                <w:lang w:val="en-GB"/>
              </w:rPr>
              <w:t xml:space="preserve"> </w:t>
            </w:r>
            <w:r w:rsidRPr="00941D7C">
              <w:rPr>
                <w:b/>
                <w:i/>
                <w:lang w:val="en-GB"/>
              </w:rPr>
              <w:t>while taking into account relevant risk factors, including company-level risk factors, such as whether the business partner is not a company covered by this Directive</w:t>
            </w:r>
            <w:r w:rsidR="005D3964" w:rsidRPr="00941D7C">
              <w:rPr>
                <w:b/>
                <w:i/>
                <w:lang w:val="en-GB"/>
              </w:rPr>
              <w:t>,</w:t>
            </w:r>
            <w:r w:rsidRPr="00941D7C">
              <w:rPr>
                <w:b/>
                <w:i/>
                <w:lang w:val="en-GB"/>
              </w:rPr>
              <w:t xml:space="preserve"> business operation risk factors</w:t>
            </w:r>
            <w:r w:rsidR="005D3964" w:rsidRPr="00941D7C">
              <w:rPr>
                <w:b/>
                <w:i/>
                <w:lang w:val="en-GB"/>
              </w:rPr>
              <w:t>,</w:t>
            </w:r>
            <w:r w:rsidRPr="00941D7C">
              <w:rPr>
                <w:b/>
                <w:i/>
                <w:lang w:val="en-GB"/>
              </w:rPr>
              <w:t xml:space="preserve"> geographic and contextual risk factors, such as the level of law enforcement with respect to the type of adverse impacts; product and service risk factors</w:t>
            </w:r>
            <w:r w:rsidR="005D3964" w:rsidRPr="00941D7C">
              <w:rPr>
                <w:b/>
                <w:i/>
                <w:lang w:val="en-GB"/>
              </w:rPr>
              <w:t>,</w:t>
            </w:r>
            <w:r w:rsidRPr="00941D7C">
              <w:rPr>
                <w:b/>
                <w:i/>
                <w:lang w:val="en-GB"/>
              </w:rPr>
              <w:t xml:space="preserve"> and sectoral risk factors</w:t>
            </w:r>
            <w:r w:rsidRPr="00941D7C">
              <w:rPr>
                <w:lang w:val="en-GB"/>
              </w:rPr>
              <w:t xml:space="preserve">, companies should, after </w:t>
            </w:r>
            <w:r w:rsidRPr="00941D7C">
              <w:rPr>
                <w:b/>
                <w:i/>
                <w:lang w:val="en-GB"/>
              </w:rPr>
              <w:t>the scoping, be required to carry out further assessments of their own operations, those of their subsidiaries and, where related to</w:t>
            </w:r>
            <w:r w:rsidRPr="00941D7C">
              <w:rPr>
                <w:lang w:val="en-GB"/>
              </w:rPr>
              <w:t xml:space="preserve"> their chains of activities, </w:t>
            </w:r>
            <w:r w:rsidRPr="00941D7C">
              <w:rPr>
                <w:b/>
                <w:i/>
                <w:lang w:val="en-GB"/>
              </w:rPr>
              <w:t>those of their</w:t>
            </w:r>
            <w:r w:rsidRPr="00941D7C">
              <w:rPr>
                <w:lang w:val="en-GB"/>
              </w:rPr>
              <w:t xml:space="preserve"> direct business partners</w:t>
            </w:r>
            <w:r w:rsidRPr="00941D7C">
              <w:rPr>
                <w:b/>
                <w:i/>
                <w:lang w:val="en-GB"/>
              </w:rPr>
              <w:t>, in the areas where adverse impacts were identified to be most likely to occur and most severe</w:t>
            </w:r>
            <w:r w:rsidRPr="00941D7C">
              <w:rPr>
                <w:lang w:val="en-GB"/>
              </w:rPr>
              <w:t>. Companies should, however, look beyond their direct business relationships where they have plausible information that suggests an adverse impact at the level of an indirect business partner. Plausible information means information of an objective character</w:t>
            </w:r>
            <w:r w:rsidRPr="00941D7C">
              <w:rPr>
                <w:b/>
                <w:i/>
                <w:lang w:val="en-GB"/>
              </w:rPr>
              <w:t>, that is factual and verifiable</w:t>
            </w:r>
            <w:r w:rsidR="005D3964" w:rsidRPr="00941D7C">
              <w:rPr>
                <w:b/>
                <w:i/>
                <w:lang w:val="en-GB"/>
              </w:rPr>
              <w:t xml:space="preserve"> and</w:t>
            </w:r>
            <w:r w:rsidRPr="00941D7C">
              <w:rPr>
                <w:lang w:val="en-GB"/>
              </w:rPr>
              <w:t xml:space="preserve"> that allows the company to conclude that there is a reasonable likelihood that the information is true. This may be the case where the company concerned has received a complaint or is in the possession of information, for example through credible media or NGO reports, reports of recent incidents, or through recurring problems at certain locations about likely or actual harmful activities at the level of an indirect business partner. Where the company has such information, it should carry out </w:t>
            </w:r>
            <w:r w:rsidRPr="00941D7C">
              <w:rPr>
                <w:b/>
                <w:i/>
                <w:lang w:val="en-GB"/>
              </w:rPr>
              <w:t>a further</w:t>
            </w:r>
            <w:r w:rsidRPr="00941D7C">
              <w:rPr>
                <w:lang w:val="en-GB"/>
              </w:rPr>
              <w:t xml:space="preserve"> assessment. Companies should also carry out </w:t>
            </w:r>
            <w:r w:rsidRPr="00941D7C">
              <w:rPr>
                <w:b/>
                <w:i/>
                <w:lang w:val="en-GB"/>
              </w:rPr>
              <w:t>further</w:t>
            </w:r>
            <w:r w:rsidRPr="00941D7C">
              <w:rPr>
                <w:lang w:val="en-GB"/>
              </w:rPr>
              <w:t xml:space="preserve"> assessments with respect to adverse impacts arising beyond their direct business partner where the structure of this business relationship lacks economic rationale and suggests that it was chosen to remove an otherwise direct supplier with harmful activities from the purview of the company. Where the </w:t>
            </w:r>
            <w:r w:rsidRPr="00941D7C">
              <w:rPr>
                <w:b/>
                <w:i/>
                <w:lang w:val="en-GB"/>
              </w:rPr>
              <w:t>further</w:t>
            </w:r>
            <w:r w:rsidRPr="00941D7C">
              <w:rPr>
                <w:lang w:val="en-GB"/>
              </w:rPr>
              <w:t xml:space="preserve"> assessment confirms the likelihood or existence of the adverse impact, it should then be deemed to be identified.</w:t>
            </w:r>
          </w:p>
        </w:tc>
      </w:tr>
    </w:tbl>
    <w:p w14:paraId="7A00A860"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064855A7" w14:textId="77777777" w:rsidR="00EE4038" w:rsidRPr="00941D7C" w:rsidRDefault="00EE4038" w:rsidP="00EE4038">
      <w:r w:rsidRPr="00941D7C">
        <w:rPr>
          <w:rStyle w:val="HideTWBExt"/>
        </w:rPr>
        <w:t>&lt;/Amend&gt;</w:t>
      </w:r>
    </w:p>
    <w:p w14:paraId="200A9500" w14:textId="58A0AD2E"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16</w:t>
      </w:r>
      <w:r w:rsidRPr="00941D7C">
        <w:rPr>
          <w:rStyle w:val="HideTWBExt"/>
          <w:lang w:val="en-GB"/>
        </w:rPr>
        <w:t>&lt;/NumAm&gt;</w:t>
      </w:r>
    </w:p>
    <w:p w14:paraId="5102F6B8"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79BFC2E3" w14:textId="77777777" w:rsidR="00EE4038" w:rsidRPr="00941D7C" w:rsidRDefault="00EE4038" w:rsidP="00EE4038">
      <w:pPr>
        <w:pStyle w:val="NormalBold"/>
      </w:pPr>
      <w:r w:rsidRPr="00941D7C">
        <w:rPr>
          <w:rStyle w:val="HideTWBExt"/>
        </w:rPr>
        <w:t>&lt;Article&gt;</w:t>
      </w:r>
      <w:r w:rsidRPr="00941D7C">
        <w:t>Recital 22</w:t>
      </w:r>
      <w:r w:rsidRPr="00941D7C">
        <w:rPr>
          <w:rStyle w:val="HideTWBExt"/>
        </w:rPr>
        <w:t>&lt;/Article&gt;</w:t>
      </w:r>
    </w:p>
    <w:tbl>
      <w:tblPr>
        <w:tblW w:w="0"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5D03DECC" w14:textId="77777777" w:rsidTr="00EE4038">
        <w:trPr>
          <w:jc w:val="center"/>
        </w:trPr>
        <w:tc>
          <w:tcPr>
            <w:tcW w:w="9752" w:type="dxa"/>
            <w:gridSpan w:val="2"/>
          </w:tcPr>
          <w:p w14:paraId="4CA47AB2" w14:textId="77777777" w:rsidR="00EE4038" w:rsidRPr="00941D7C" w:rsidRDefault="00EE4038">
            <w:pPr>
              <w:keepNext/>
            </w:pPr>
          </w:p>
        </w:tc>
      </w:tr>
      <w:tr w:rsidR="00EE4038" w:rsidRPr="00941D7C" w14:paraId="3BC28F3A" w14:textId="77777777" w:rsidTr="00EE4038">
        <w:trPr>
          <w:jc w:val="center"/>
        </w:trPr>
        <w:tc>
          <w:tcPr>
            <w:tcW w:w="4876" w:type="dxa"/>
            <w:hideMark/>
          </w:tcPr>
          <w:p w14:paraId="788713AB"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710A85F9" w14:textId="77777777" w:rsidR="00EE4038" w:rsidRPr="00941D7C" w:rsidRDefault="00EE4038">
            <w:pPr>
              <w:pStyle w:val="ColumnHeading"/>
              <w:keepNext/>
              <w:rPr>
                <w:lang w:val="en-GB"/>
              </w:rPr>
            </w:pPr>
            <w:r w:rsidRPr="00941D7C">
              <w:rPr>
                <w:lang w:val="en-GB"/>
              </w:rPr>
              <w:t>Amendment</w:t>
            </w:r>
          </w:p>
        </w:tc>
      </w:tr>
      <w:tr w:rsidR="00EE4038" w:rsidRPr="00941D7C" w14:paraId="7C82C3E8" w14:textId="77777777" w:rsidTr="00EE4038">
        <w:trPr>
          <w:jc w:val="center"/>
        </w:trPr>
        <w:tc>
          <w:tcPr>
            <w:tcW w:w="4876" w:type="dxa"/>
            <w:hideMark/>
          </w:tcPr>
          <w:p w14:paraId="31FD81F5" w14:textId="77777777" w:rsidR="00EE4038" w:rsidRPr="00941D7C" w:rsidRDefault="00EE4038">
            <w:pPr>
              <w:pStyle w:val="Normal6"/>
              <w:rPr>
                <w:lang w:val="en-GB"/>
              </w:rPr>
            </w:pPr>
            <w:r w:rsidRPr="00941D7C">
              <w:rPr>
                <w:lang w:val="en-GB"/>
              </w:rPr>
              <w:t>(22)</w:t>
            </w:r>
            <w:r w:rsidRPr="00941D7C">
              <w:rPr>
                <w:lang w:val="en-GB"/>
              </w:rPr>
              <w:tab/>
              <w:t xml:space="preserve">To limit the trickle-down effect on small and medium-sized undertakings and small midcap companies when it comes to </w:t>
            </w:r>
            <w:r w:rsidRPr="00941D7C">
              <w:rPr>
                <w:b/>
                <w:i/>
                <w:lang w:val="en-GB"/>
              </w:rPr>
              <w:t>mapping the value</w:t>
            </w:r>
            <w:r w:rsidRPr="00941D7C">
              <w:rPr>
                <w:lang w:val="en-GB"/>
              </w:rPr>
              <w:t xml:space="preserve"> chain to identify adverse impacts, </w:t>
            </w:r>
            <w:r w:rsidRPr="00941D7C">
              <w:rPr>
                <w:b/>
                <w:i/>
                <w:lang w:val="en-GB"/>
              </w:rPr>
              <w:t>large</w:t>
            </w:r>
            <w:r w:rsidRPr="00941D7C">
              <w:rPr>
                <w:lang w:val="en-GB"/>
              </w:rPr>
              <w:t xml:space="preserve"> companies should </w:t>
            </w:r>
            <w:r w:rsidRPr="00941D7C">
              <w:rPr>
                <w:b/>
                <w:i/>
                <w:lang w:val="en-GB"/>
              </w:rPr>
              <w:t>limit</w:t>
            </w:r>
            <w:r w:rsidRPr="00941D7C">
              <w:rPr>
                <w:lang w:val="en-GB"/>
              </w:rPr>
              <w:t xml:space="preserve"> information </w:t>
            </w:r>
            <w:r w:rsidRPr="00941D7C">
              <w:rPr>
                <w:b/>
                <w:i/>
                <w:lang w:val="en-GB"/>
              </w:rPr>
              <w:t>requests to</w:t>
            </w:r>
            <w:r w:rsidRPr="00941D7C">
              <w:rPr>
                <w:lang w:val="en-GB"/>
              </w:rPr>
              <w:t xml:space="preserve"> the information specified in the standards for voluntary use referred to in Article </w:t>
            </w:r>
            <w:r w:rsidRPr="00941D7C">
              <w:rPr>
                <w:b/>
                <w:i/>
                <w:lang w:val="en-GB"/>
              </w:rPr>
              <w:t>29a</w:t>
            </w:r>
            <w:r w:rsidRPr="00941D7C">
              <w:rPr>
                <w:lang w:val="en-GB"/>
              </w:rPr>
              <w:t xml:space="preserve"> of Directive </w:t>
            </w:r>
            <w:r w:rsidRPr="00941D7C">
              <w:rPr>
                <w:b/>
                <w:i/>
                <w:lang w:val="en-GB"/>
              </w:rPr>
              <w:t>(EU)</w:t>
            </w:r>
            <w:r w:rsidRPr="00941D7C">
              <w:rPr>
                <w:lang w:val="en-GB"/>
              </w:rPr>
              <w:t xml:space="preserve"> 2013/34/EU</w:t>
            </w:r>
            <w:r w:rsidRPr="00941D7C">
              <w:rPr>
                <w:b/>
                <w:i/>
                <w:lang w:val="en-GB"/>
              </w:rPr>
              <w:t>, unless they need</w:t>
            </w:r>
            <w:r w:rsidRPr="00941D7C">
              <w:rPr>
                <w:lang w:val="en-GB"/>
              </w:rPr>
              <w:t xml:space="preserve"> additional information </w:t>
            </w:r>
            <w:r w:rsidRPr="00941D7C">
              <w:rPr>
                <w:b/>
                <w:i/>
                <w:lang w:val="en-GB"/>
              </w:rPr>
              <w:t>to carry out the mapping and they</w:t>
            </w:r>
            <w:r w:rsidRPr="00941D7C">
              <w:rPr>
                <w:lang w:val="en-GB"/>
              </w:rPr>
              <w:t xml:space="preserve"> cannot </w:t>
            </w:r>
            <w:r w:rsidRPr="00941D7C">
              <w:rPr>
                <w:b/>
                <w:i/>
                <w:lang w:val="en-GB"/>
              </w:rPr>
              <w:t>obtain that</w:t>
            </w:r>
            <w:r w:rsidRPr="00941D7C">
              <w:rPr>
                <w:lang w:val="en-GB"/>
              </w:rPr>
              <w:t xml:space="preserve"> information </w:t>
            </w:r>
            <w:r w:rsidRPr="00941D7C">
              <w:rPr>
                <w:b/>
                <w:i/>
                <w:lang w:val="en-GB"/>
              </w:rPr>
              <w:t>in any other</w:t>
            </w:r>
            <w:r w:rsidRPr="00941D7C">
              <w:rPr>
                <w:lang w:val="en-GB"/>
              </w:rPr>
              <w:t xml:space="preserve"> reasonable </w:t>
            </w:r>
            <w:r w:rsidRPr="00941D7C">
              <w:rPr>
                <w:b/>
                <w:i/>
                <w:lang w:val="en-GB"/>
              </w:rPr>
              <w:t>way</w:t>
            </w:r>
            <w:r w:rsidRPr="00941D7C">
              <w:rPr>
                <w:lang w:val="en-GB"/>
              </w:rPr>
              <w:t>.</w:t>
            </w:r>
          </w:p>
        </w:tc>
        <w:tc>
          <w:tcPr>
            <w:tcW w:w="4876" w:type="dxa"/>
            <w:hideMark/>
          </w:tcPr>
          <w:p w14:paraId="656F5E55" w14:textId="2A489861" w:rsidR="00EE4038" w:rsidRPr="00941D7C" w:rsidRDefault="00EE4038" w:rsidP="00C33FF2">
            <w:pPr>
              <w:pStyle w:val="Normal6"/>
              <w:rPr>
                <w:szCs w:val="24"/>
                <w:lang w:val="en-GB"/>
              </w:rPr>
            </w:pPr>
            <w:r w:rsidRPr="00941D7C">
              <w:rPr>
                <w:lang w:val="en-GB"/>
              </w:rPr>
              <w:t>(22)</w:t>
            </w:r>
            <w:r w:rsidRPr="00941D7C">
              <w:rPr>
                <w:lang w:val="en-GB"/>
              </w:rPr>
              <w:tab/>
              <w:t xml:space="preserve">To limit the trickle-down effect on small and medium-sized undertakings and small midcap companies when it comes to </w:t>
            </w:r>
            <w:r w:rsidRPr="00941D7C">
              <w:rPr>
                <w:b/>
                <w:i/>
                <w:lang w:val="en-GB"/>
              </w:rPr>
              <w:t>the scoping of the</w:t>
            </w:r>
            <w:r w:rsidRPr="00941D7C">
              <w:rPr>
                <w:lang w:val="en-GB"/>
              </w:rPr>
              <w:t xml:space="preserve"> chain </w:t>
            </w:r>
            <w:r w:rsidRPr="00941D7C">
              <w:rPr>
                <w:b/>
                <w:i/>
                <w:lang w:val="en-GB"/>
              </w:rPr>
              <w:t>of activities</w:t>
            </w:r>
            <w:r w:rsidRPr="00941D7C">
              <w:rPr>
                <w:lang w:val="en-GB"/>
              </w:rPr>
              <w:t xml:space="preserve"> to identify adverse impacts, companies </w:t>
            </w:r>
            <w:r w:rsidRPr="00941D7C">
              <w:rPr>
                <w:b/>
                <w:i/>
                <w:lang w:val="en-GB"/>
              </w:rPr>
              <w:t>within the scope</w:t>
            </w:r>
            <w:r w:rsidRPr="00941D7C">
              <w:rPr>
                <w:lang w:val="en-GB"/>
              </w:rPr>
              <w:t xml:space="preserve"> should </w:t>
            </w:r>
            <w:r w:rsidRPr="00941D7C">
              <w:rPr>
                <w:b/>
                <w:i/>
                <w:lang w:val="en-GB"/>
              </w:rPr>
              <w:t>not seek to obtain</w:t>
            </w:r>
            <w:r w:rsidRPr="00941D7C">
              <w:rPr>
                <w:lang w:val="en-GB"/>
              </w:rPr>
              <w:t xml:space="preserve"> information </w:t>
            </w:r>
            <w:r w:rsidRPr="00941D7C">
              <w:rPr>
                <w:b/>
                <w:i/>
                <w:lang w:val="en-GB"/>
              </w:rPr>
              <w:t>from their business partners but rely only on information that is already reasonably available such as publicly known information, information from searches</w:t>
            </w:r>
            <w:r w:rsidR="005D3964" w:rsidRPr="00941D7C">
              <w:rPr>
                <w:b/>
                <w:i/>
                <w:lang w:val="en-GB"/>
              </w:rPr>
              <w:t xml:space="preserve"> and</w:t>
            </w:r>
            <w:r w:rsidRPr="00941D7C">
              <w:rPr>
                <w:b/>
                <w:i/>
                <w:lang w:val="en-GB"/>
              </w:rPr>
              <w:t xml:space="preserve"> information gained through earlier cooperation. Entity</w:t>
            </w:r>
            <w:r w:rsidR="005D3964" w:rsidRPr="00941D7C">
              <w:rPr>
                <w:b/>
                <w:i/>
                <w:lang w:val="en-GB"/>
              </w:rPr>
              <w:t>-</w:t>
            </w:r>
            <w:r w:rsidRPr="00941D7C">
              <w:rPr>
                <w:b/>
                <w:i/>
                <w:lang w:val="en-GB"/>
              </w:rPr>
              <w:t>level information is not relevant at this stage</w:t>
            </w:r>
            <w:r w:rsidR="005D3964" w:rsidRPr="00941D7C">
              <w:rPr>
                <w:b/>
                <w:i/>
                <w:lang w:val="en-GB"/>
              </w:rPr>
              <w:t>,</w:t>
            </w:r>
            <w:r w:rsidRPr="00941D7C">
              <w:rPr>
                <w:b/>
                <w:i/>
                <w:lang w:val="en-GB"/>
              </w:rPr>
              <w:t xml:space="preserve"> </w:t>
            </w:r>
            <w:r w:rsidR="005D3964" w:rsidRPr="00941D7C">
              <w:rPr>
                <w:b/>
                <w:i/>
                <w:lang w:val="en-GB"/>
              </w:rPr>
              <w:t xml:space="preserve">nor </w:t>
            </w:r>
            <w:proofErr w:type="gramStart"/>
            <w:r w:rsidR="005D3964" w:rsidRPr="00941D7C">
              <w:rPr>
                <w:b/>
                <w:i/>
                <w:lang w:val="en-GB"/>
              </w:rPr>
              <w:t xml:space="preserve">is </w:t>
            </w:r>
            <w:r w:rsidRPr="00941D7C">
              <w:rPr>
                <w:b/>
                <w:i/>
                <w:lang w:val="en-GB"/>
              </w:rPr>
              <w:t xml:space="preserve"> any</w:t>
            </w:r>
            <w:proofErr w:type="gramEnd"/>
            <w:r w:rsidRPr="00941D7C">
              <w:rPr>
                <w:b/>
                <w:i/>
                <w:lang w:val="en-GB"/>
              </w:rPr>
              <w:t xml:space="preserve"> communication with business partners. </w:t>
            </w:r>
            <w:r w:rsidR="005D3964" w:rsidRPr="00941D7C">
              <w:rPr>
                <w:b/>
                <w:i/>
                <w:lang w:val="en-GB"/>
              </w:rPr>
              <w:t>It should only be possible to seek such i</w:t>
            </w:r>
            <w:r w:rsidRPr="00941D7C">
              <w:rPr>
                <w:b/>
                <w:i/>
                <w:lang w:val="en-GB"/>
              </w:rPr>
              <w:t xml:space="preserve">nformation </w:t>
            </w:r>
            <w:r w:rsidR="005D3964" w:rsidRPr="00941D7C">
              <w:rPr>
                <w:b/>
                <w:i/>
                <w:lang w:val="en-GB"/>
              </w:rPr>
              <w:t xml:space="preserve">for </w:t>
            </w:r>
            <w:r w:rsidRPr="00941D7C">
              <w:rPr>
                <w:b/>
                <w:i/>
                <w:lang w:val="en-GB"/>
              </w:rPr>
              <w:t xml:space="preserve">further assessments under certain conditions. In </w:t>
            </w:r>
            <w:r w:rsidR="005D3964" w:rsidRPr="00941D7C">
              <w:rPr>
                <w:b/>
                <w:i/>
                <w:lang w:val="en-GB"/>
              </w:rPr>
              <w:t xml:space="preserve">such a </w:t>
            </w:r>
            <w:r w:rsidRPr="00941D7C">
              <w:rPr>
                <w:b/>
                <w:i/>
                <w:lang w:val="en-GB"/>
              </w:rPr>
              <w:t xml:space="preserve">case, </w:t>
            </w:r>
            <w:r w:rsidR="005D3964" w:rsidRPr="00941D7C">
              <w:rPr>
                <w:b/>
                <w:i/>
                <w:lang w:val="en-GB"/>
              </w:rPr>
              <w:t xml:space="preserve">it should be possible to seek </w:t>
            </w:r>
            <w:r w:rsidRPr="00941D7C">
              <w:rPr>
                <w:b/>
                <w:i/>
                <w:lang w:val="en-GB"/>
              </w:rPr>
              <w:t>information from direct business partners with fewer than 3000 employees that exceeds</w:t>
            </w:r>
            <w:r w:rsidRPr="00941D7C">
              <w:rPr>
                <w:lang w:val="en-GB"/>
              </w:rPr>
              <w:t xml:space="preserve"> the information specified in the standards for voluntary use </w:t>
            </w:r>
            <w:r w:rsidRPr="00941D7C">
              <w:rPr>
                <w:b/>
                <w:i/>
                <w:lang w:val="en-GB"/>
              </w:rPr>
              <w:t>only where</w:t>
            </w:r>
            <w:r w:rsidR="005D3964" w:rsidRPr="00941D7C">
              <w:rPr>
                <w:b/>
                <w:i/>
                <w:lang w:val="en-GB"/>
              </w:rPr>
              <w:t>, following a risk-based approach,</w:t>
            </w:r>
            <w:r w:rsidRPr="00941D7C">
              <w:rPr>
                <w:b/>
                <w:i/>
                <w:lang w:val="en-GB"/>
              </w:rPr>
              <w:t xml:space="preserve"> such information is necessary in light of indications of likely adverse impacts or because the standards do not cover relevant impacts and where such</w:t>
            </w:r>
            <w:r w:rsidRPr="00941D7C">
              <w:rPr>
                <w:lang w:val="en-GB"/>
              </w:rPr>
              <w:t xml:space="preserve"> additional information cannot </w:t>
            </w:r>
            <w:r w:rsidRPr="00941D7C">
              <w:rPr>
                <w:b/>
                <w:i/>
                <w:lang w:val="en-GB"/>
              </w:rPr>
              <w:t>reasonably be obtained by other means, mainly from existing or secondary sources. The same should apply where companies are required to look beyond their direct business partners because they have plausible</w:t>
            </w:r>
            <w:r w:rsidRPr="00941D7C">
              <w:rPr>
                <w:lang w:val="en-GB"/>
              </w:rPr>
              <w:t xml:space="preserve"> information </w:t>
            </w:r>
            <w:r w:rsidRPr="00941D7C">
              <w:rPr>
                <w:b/>
                <w:i/>
                <w:lang w:val="en-GB"/>
              </w:rPr>
              <w:t xml:space="preserve">suggesting an adverse impact at the level of an indirect business partner. </w:t>
            </w:r>
            <w:proofErr w:type="gramStart"/>
            <w:r w:rsidRPr="00941D7C">
              <w:rPr>
                <w:b/>
                <w:i/>
                <w:lang w:val="en-GB"/>
              </w:rPr>
              <w:t>In order to</w:t>
            </w:r>
            <w:proofErr w:type="gramEnd"/>
            <w:r w:rsidRPr="00941D7C">
              <w:rPr>
                <w:b/>
                <w:i/>
                <w:lang w:val="en-GB"/>
              </w:rPr>
              <w:t xml:space="preserve"> facilitate compliance for companies and the relevant business partners, </w:t>
            </w:r>
            <w:r w:rsidR="005D3964" w:rsidRPr="00941D7C">
              <w:rPr>
                <w:b/>
                <w:i/>
                <w:lang w:val="en-GB"/>
              </w:rPr>
              <w:t xml:space="preserve">it should be possible to obtain </w:t>
            </w:r>
            <w:r w:rsidRPr="00941D7C">
              <w:rPr>
                <w:b/>
                <w:i/>
                <w:lang w:val="en-GB"/>
              </w:rPr>
              <w:t>the necessary information either individually or collaboratively.</w:t>
            </w:r>
            <w:r w:rsidRPr="00941D7C">
              <w:rPr>
                <w:lang w:val="en-GB"/>
              </w:rPr>
              <w:t xml:space="preserve"> </w:t>
            </w:r>
          </w:p>
        </w:tc>
      </w:tr>
    </w:tbl>
    <w:p w14:paraId="3FA2A41A"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5D7E46FF" w14:textId="77777777" w:rsidR="00EE4038" w:rsidRPr="00941D7C" w:rsidRDefault="00EE4038" w:rsidP="00EE4038">
      <w:r w:rsidRPr="00941D7C">
        <w:rPr>
          <w:rStyle w:val="HideTWBExt"/>
        </w:rPr>
        <w:t>&lt;/Amend&gt;</w:t>
      </w:r>
    </w:p>
    <w:p w14:paraId="50767E66" w14:textId="3E0A960F"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17</w:t>
      </w:r>
      <w:r w:rsidRPr="00941D7C">
        <w:rPr>
          <w:rStyle w:val="HideTWBExt"/>
          <w:lang w:val="en-GB"/>
        </w:rPr>
        <w:t>&lt;/NumAm&gt;</w:t>
      </w:r>
    </w:p>
    <w:p w14:paraId="6CDC001E"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4EFD82C6" w14:textId="77777777" w:rsidR="00EE4038" w:rsidRPr="00941D7C" w:rsidRDefault="00EE4038" w:rsidP="00EE4038">
      <w:pPr>
        <w:pStyle w:val="NormalBold"/>
      </w:pPr>
      <w:r w:rsidRPr="00941D7C">
        <w:rPr>
          <w:rStyle w:val="HideTWBExt"/>
        </w:rPr>
        <w:t>&lt;Article&gt;</w:t>
      </w:r>
      <w:r w:rsidRPr="00941D7C">
        <w:t>Recital 22</w:t>
      </w:r>
      <w:r w:rsidR="00F00807" w:rsidRPr="00941D7C">
        <w:t xml:space="preserve"> </w:t>
      </w:r>
      <w:r w:rsidRPr="00941D7C">
        <w:t>a (new)</w:t>
      </w:r>
      <w:r w:rsidRPr="00941D7C">
        <w:rPr>
          <w:rStyle w:val="HideTWBExt"/>
        </w:rPr>
        <w:t>&lt;/Article&gt;</w:t>
      </w:r>
    </w:p>
    <w:tbl>
      <w:tblPr>
        <w:tblW w:w="0"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7393CEED" w14:textId="77777777" w:rsidTr="00EE4038">
        <w:trPr>
          <w:jc w:val="center"/>
        </w:trPr>
        <w:tc>
          <w:tcPr>
            <w:tcW w:w="9752" w:type="dxa"/>
            <w:gridSpan w:val="2"/>
          </w:tcPr>
          <w:p w14:paraId="6E8EB3C7" w14:textId="77777777" w:rsidR="00EE4038" w:rsidRPr="00941D7C" w:rsidRDefault="00EE4038">
            <w:pPr>
              <w:keepNext/>
            </w:pPr>
          </w:p>
        </w:tc>
      </w:tr>
      <w:tr w:rsidR="00EE4038" w:rsidRPr="00941D7C" w14:paraId="5D303A24" w14:textId="77777777" w:rsidTr="00EE4038">
        <w:trPr>
          <w:jc w:val="center"/>
        </w:trPr>
        <w:tc>
          <w:tcPr>
            <w:tcW w:w="4876" w:type="dxa"/>
            <w:hideMark/>
          </w:tcPr>
          <w:p w14:paraId="08766132"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407B81D2" w14:textId="77777777" w:rsidR="00EE4038" w:rsidRPr="00941D7C" w:rsidRDefault="00EE4038">
            <w:pPr>
              <w:pStyle w:val="ColumnHeading"/>
              <w:keepNext/>
              <w:rPr>
                <w:lang w:val="en-GB"/>
              </w:rPr>
            </w:pPr>
            <w:r w:rsidRPr="00941D7C">
              <w:rPr>
                <w:lang w:val="en-GB"/>
              </w:rPr>
              <w:t>Amendment</w:t>
            </w:r>
          </w:p>
        </w:tc>
      </w:tr>
      <w:tr w:rsidR="00EE4038" w:rsidRPr="00941D7C" w14:paraId="15F4FD0E" w14:textId="77777777" w:rsidTr="00EE4038">
        <w:trPr>
          <w:jc w:val="center"/>
        </w:trPr>
        <w:tc>
          <w:tcPr>
            <w:tcW w:w="4876" w:type="dxa"/>
          </w:tcPr>
          <w:p w14:paraId="1E3363A7" w14:textId="77777777" w:rsidR="00EE4038" w:rsidRPr="00941D7C" w:rsidRDefault="00EE4038">
            <w:pPr>
              <w:pStyle w:val="Normal6"/>
              <w:rPr>
                <w:lang w:val="en-GB"/>
              </w:rPr>
            </w:pPr>
          </w:p>
        </w:tc>
        <w:tc>
          <w:tcPr>
            <w:tcW w:w="4876" w:type="dxa"/>
            <w:hideMark/>
          </w:tcPr>
          <w:p w14:paraId="3482B8B6" w14:textId="1BC9984E" w:rsidR="00EE4038" w:rsidRPr="00941D7C" w:rsidRDefault="00EE4038" w:rsidP="006A06F5">
            <w:pPr>
              <w:pStyle w:val="Normal6"/>
              <w:rPr>
                <w:szCs w:val="24"/>
                <w:lang w:val="en-GB"/>
              </w:rPr>
            </w:pPr>
            <w:r w:rsidRPr="00941D7C">
              <w:rPr>
                <w:b/>
                <w:i/>
                <w:lang w:val="en-GB"/>
              </w:rPr>
              <w:t>(22a)</w:t>
            </w:r>
            <w:r w:rsidRPr="00941D7C">
              <w:rPr>
                <w:lang w:val="en-GB"/>
              </w:rPr>
              <w:tab/>
            </w:r>
            <w:r w:rsidRPr="00941D7C">
              <w:rPr>
                <w:b/>
                <w:i/>
                <w:lang w:val="en-GB"/>
              </w:rPr>
              <w:t xml:space="preserve">While keeping with the objective of prioritising the most adverse and likely impacts, companies should be given significant flexibility in deciding which risks to address first </w:t>
            </w:r>
            <w:proofErr w:type="gramStart"/>
            <w:r w:rsidRPr="00941D7C">
              <w:rPr>
                <w:b/>
                <w:i/>
                <w:lang w:val="en-GB"/>
              </w:rPr>
              <w:t>on the basis of</w:t>
            </w:r>
            <w:proofErr w:type="gramEnd"/>
            <w:r w:rsidRPr="00941D7C">
              <w:rPr>
                <w:b/>
                <w:i/>
                <w:lang w:val="en-GB"/>
              </w:rPr>
              <w:t xml:space="preserve"> the severity and likelihood of an adverse impact. </w:t>
            </w:r>
            <w:r w:rsidR="005D3964" w:rsidRPr="00941D7C">
              <w:rPr>
                <w:b/>
                <w:i/>
                <w:lang w:val="en-GB"/>
              </w:rPr>
              <w:t>Such a decision</w:t>
            </w:r>
            <w:r w:rsidRPr="00941D7C">
              <w:rPr>
                <w:b/>
                <w:i/>
                <w:lang w:val="en-GB"/>
              </w:rPr>
              <w:t xml:space="preserve"> should be based on the scale, scope or irremediable character of the adverse impact, </w:t>
            </w:r>
            <w:proofErr w:type="gramStart"/>
            <w:r w:rsidRPr="00941D7C">
              <w:rPr>
                <w:b/>
                <w:i/>
                <w:lang w:val="en-GB"/>
              </w:rPr>
              <w:t>taking into account</w:t>
            </w:r>
            <w:proofErr w:type="gramEnd"/>
            <w:r w:rsidRPr="00941D7C">
              <w:rPr>
                <w:b/>
                <w:i/>
                <w:lang w:val="en-GB"/>
              </w:rPr>
              <w:t xml:space="preserve"> the gravity of the impact. Once the most severe and likely adverse impacts are addressed in</w:t>
            </w:r>
            <w:r w:rsidRPr="00941D7C">
              <w:rPr>
                <w:lang w:val="en-GB"/>
              </w:rPr>
              <w:t xml:space="preserve"> </w:t>
            </w:r>
            <w:r w:rsidRPr="00941D7C">
              <w:rPr>
                <w:b/>
                <w:i/>
                <w:lang w:val="en-GB"/>
              </w:rPr>
              <w:t>reasonable</w:t>
            </w:r>
            <w:r w:rsidRPr="00941D7C">
              <w:rPr>
                <w:lang w:val="en-GB"/>
              </w:rPr>
              <w:t xml:space="preserve"> </w:t>
            </w:r>
            <w:r w:rsidRPr="00941D7C">
              <w:rPr>
                <w:b/>
                <w:i/>
                <w:lang w:val="en-GB"/>
              </w:rPr>
              <w:t>time, compan</w:t>
            </w:r>
            <w:r w:rsidR="006A06F5" w:rsidRPr="00941D7C">
              <w:rPr>
                <w:b/>
                <w:i/>
                <w:lang w:val="en-GB"/>
              </w:rPr>
              <w:t>ies</w:t>
            </w:r>
            <w:r w:rsidRPr="00941D7C">
              <w:rPr>
                <w:b/>
                <w:i/>
                <w:lang w:val="en-GB"/>
              </w:rPr>
              <w:t xml:space="preserve"> should address less severe and less likely adverse impacts</w:t>
            </w:r>
            <w:r w:rsidRPr="00941D7C">
              <w:rPr>
                <w:lang w:val="en-GB"/>
              </w:rPr>
              <w:t xml:space="preserve">. </w:t>
            </w:r>
            <w:r w:rsidRPr="00941D7C">
              <w:rPr>
                <w:b/>
                <w:i/>
                <w:lang w:val="en-GB"/>
              </w:rPr>
              <w:t>However, companies should not be penalised for any harm stemming from less significant adverse impacts that were not yet addressed according to the prioritisation in line with these principles.</w:t>
            </w:r>
          </w:p>
        </w:tc>
      </w:tr>
    </w:tbl>
    <w:p w14:paraId="729CBAE1"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01BA3DCE" w14:textId="77777777" w:rsidR="00EE4038" w:rsidRPr="00941D7C" w:rsidRDefault="00EE4038" w:rsidP="00EE4038">
      <w:r w:rsidRPr="00941D7C">
        <w:rPr>
          <w:rStyle w:val="HideTWBExt"/>
        </w:rPr>
        <w:t>&lt;/Amend&gt;</w:t>
      </w:r>
    </w:p>
    <w:p w14:paraId="60E1C93F" w14:textId="1FE4B3CA"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18</w:t>
      </w:r>
      <w:r w:rsidRPr="00941D7C">
        <w:rPr>
          <w:rStyle w:val="HideTWBExt"/>
          <w:lang w:val="en-GB"/>
        </w:rPr>
        <w:t>&lt;/NumAm&gt;</w:t>
      </w:r>
    </w:p>
    <w:p w14:paraId="50F265AE"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7E33B559" w14:textId="77777777" w:rsidR="00EE4038" w:rsidRPr="00941D7C" w:rsidRDefault="00EE4038" w:rsidP="00EE4038">
      <w:pPr>
        <w:pStyle w:val="NormalBold"/>
      </w:pPr>
      <w:r w:rsidRPr="00941D7C">
        <w:rPr>
          <w:rStyle w:val="HideTWBExt"/>
        </w:rPr>
        <w:t>&lt;Article&gt;</w:t>
      </w:r>
      <w:r w:rsidRPr="00941D7C">
        <w:t>Recital 23</w:t>
      </w:r>
      <w:r w:rsidRPr="00941D7C">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2C48E227" w14:textId="77777777" w:rsidTr="00EE4038">
        <w:trPr>
          <w:jc w:val="center"/>
        </w:trPr>
        <w:tc>
          <w:tcPr>
            <w:tcW w:w="9752" w:type="dxa"/>
            <w:gridSpan w:val="2"/>
          </w:tcPr>
          <w:p w14:paraId="20C1222D" w14:textId="77777777" w:rsidR="00EE4038" w:rsidRPr="00941D7C" w:rsidRDefault="00EE4038">
            <w:pPr>
              <w:keepNext/>
            </w:pPr>
          </w:p>
        </w:tc>
      </w:tr>
      <w:tr w:rsidR="00EE4038" w:rsidRPr="00941D7C" w14:paraId="4C946B26" w14:textId="77777777" w:rsidTr="00EE4038">
        <w:trPr>
          <w:jc w:val="center"/>
        </w:trPr>
        <w:tc>
          <w:tcPr>
            <w:tcW w:w="4876" w:type="dxa"/>
            <w:hideMark/>
          </w:tcPr>
          <w:p w14:paraId="0318C8CA"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68DB9FF5" w14:textId="77777777" w:rsidR="00EE4038" w:rsidRPr="00941D7C" w:rsidRDefault="00EE4038">
            <w:pPr>
              <w:pStyle w:val="ColumnHeading"/>
              <w:keepNext/>
              <w:rPr>
                <w:lang w:val="en-GB"/>
              </w:rPr>
            </w:pPr>
            <w:r w:rsidRPr="00941D7C">
              <w:rPr>
                <w:lang w:val="en-GB"/>
              </w:rPr>
              <w:t>Amendment</w:t>
            </w:r>
          </w:p>
        </w:tc>
      </w:tr>
      <w:tr w:rsidR="00EE4038" w:rsidRPr="00941D7C" w14:paraId="31C20A64" w14:textId="77777777" w:rsidTr="00EE4038">
        <w:trPr>
          <w:jc w:val="center"/>
        </w:trPr>
        <w:tc>
          <w:tcPr>
            <w:tcW w:w="4876" w:type="dxa"/>
            <w:hideMark/>
          </w:tcPr>
          <w:p w14:paraId="74DF65EC" w14:textId="77777777" w:rsidR="00EE4038" w:rsidRPr="00941D7C" w:rsidRDefault="00EE4038">
            <w:pPr>
              <w:pStyle w:val="Normal6"/>
              <w:rPr>
                <w:lang w:val="en-GB"/>
              </w:rPr>
            </w:pPr>
            <w:r w:rsidRPr="00941D7C">
              <w:rPr>
                <w:lang w:val="en-GB"/>
              </w:rPr>
              <w:t>(23)</w:t>
            </w:r>
            <w:r w:rsidRPr="00941D7C">
              <w:rPr>
                <w:lang w:val="en-GB"/>
              </w:rPr>
              <w:tab/>
              <w:t xml:space="preserve"> Companies may find themselves in situations where their production heavily relies on inputs from one or several specific suppliers. At the same time, where the business operations of such a supplier are linked to severe adverse impacts, including child labour or significant environmental harm, and the company has unsuccessfully exhausted all due diligence measures to address those impacts, the company, as a last resort should suspend the business relationship while continuing to work with the supplier towards a solution, where possible using any increased leverage resulting from the suspension.</w:t>
            </w:r>
          </w:p>
        </w:tc>
        <w:tc>
          <w:tcPr>
            <w:tcW w:w="4876" w:type="dxa"/>
            <w:hideMark/>
          </w:tcPr>
          <w:p w14:paraId="3955F5C3" w14:textId="7DA096A0" w:rsidR="00EE4038" w:rsidRPr="00941D7C" w:rsidRDefault="00EE4038" w:rsidP="006A06F5">
            <w:pPr>
              <w:pStyle w:val="Normal6"/>
              <w:rPr>
                <w:szCs w:val="24"/>
                <w:lang w:val="en-GB"/>
              </w:rPr>
            </w:pPr>
            <w:r w:rsidRPr="00941D7C">
              <w:rPr>
                <w:lang w:val="en-GB"/>
              </w:rPr>
              <w:t>(23)</w:t>
            </w:r>
            <w:r w:rsidRPr="00941D7C">
              <w:rPr>
                <w:lang w:val="en-GB"/>
              </w:rPr>
              <w:tab/>
              <w:t xml:space="preserve">Companies may find themselves in situations where their production heavily relies on inputs from one or several specific suppliers. At the same time, where the business operations of such a supplier are linked to severe adverse impacts, including child labour or significant environmental harm, and the company has unsuccessfully exhausted all due diligence measures to address those impacts, the company, as a last resort should suspend the business relationship while continuing to work with the supplier towards a solution, where possible using any increased leverage resulting from the suspension. </w:t>
            </w:r>
            <w:r w:rsidR="006A06F5" w:rsidRPr="00941D7C">
              <w:rPr>
                <w:b/>
                <w:i/>
                <w:lang w:val="en-GB"/>
              </w:rPr>
              <w:t xml:space="preserve">Such a </w:t>
            </w:r>
            <w:r w:rsidR="006A06F5" w:rsidRPr="00941D7C">
              <w:rPr>
                <w:rStyle w:val="highlight-diff"/>
                <w:b/>
                <w:i/>
                <w:lang w:val="en-GB"/>
              </w:rPr>
              <w:t>s</w:t>
            </w:r>
            <w:r w:rsidRPr="00941D7C">
              <w:rPr>
                <w:rStyle w:val="highlight-diff"/>
                <w:b/>
                <w:i/>
                <w:lang w:val="en-GB"/>
              </w:rPr>
              <w:t xml:space="preserve">uspension should not lead to a substantial prejudice for the company, including </w:t>
            </w:r>
            <w:r w:rsidR="006A06F5" w:rsidRPr="00941D7C">
              <w:rPr>
                <w:rStyle w:val="highlight-diff"/>
                <w:b/>
                <w:i/>
                <w:lang w:val="en-GB"/>
              </w:rPr>
              <w:t xml:space="preserve">where </w:t>
            </w:r>
            <w:r w:rsidRPr="00941D7C">
              <w:rPr>
                <w:rStyle w:val="highlight-diff"/>
                <w:b/>
                <w:i/>
                <w:lang w:val="en-GB"/>
              </w:rPr>
              <w:t>crucial business partners provid</w:t>
            </w:r>
            <w:r w:rsidR="006A06F5" w:rsidRPr="00941D7C">
              <w:rPr>
                <w:rStyle w:val="highlight-diff"/>
                <w:b/>
                <w:i/>
                <w:lang w:val="en-GB"/>
              </w:rPr>
              <w:t>e</w:t>
            </w:r>
            <w:r w:rsidRPr="00941D7C">
              <w:rPr>
                <w:rStyle w:val="highlight-diff"/>
                <w:b/>
                <w:i/>
                <w:lang w:val="en-GB"/>
              </w:rPr>
              <w:t xml:space="preserve"> raw materials, products or services which are essential to the company’s business. Substantial prejudice should be interpreted as a negative and significant effect on the company’s legal, financial or economic situation or its production capacity, including in the long</w:t>
            </w:r>
            <w:r w:rsidR="006A06F5" w:rsidRPr="00941D7C">
              <w:rPr>
                <w:rStyle w:val="highlight-diff"/>
                <w:b/>
                <w:i/>
                <w:lang w:val="en-GB"/>
              </w:rPr>
              <w:t xml:space="preserve"> </w:t>
            </w:r>
            <w:r w:rsidRPr="00941D7C">
              <w:rPr>
                <w:rStyle w:val="highlight-diff"/>
                <w:b/>
                <w:i/>
                <w:lang w:val="en-GB"/>
              </w:rPr>
              <w:t xml:space="preserve">term, such as an effect giving rise to the likelihood of insolvency. In order not to undermine the aims of this Directive, the decision not to suspend the business relationship should be subject to conditions, including reporting to the competent supervisory authority about the duly justified reasons for such </w:t>
            </w:r>
            <w:r w:rsidR="006A06F5" w:rsidRPr="00941D7C">
              <w:rPr>
                <w:rStyle w:val="highlight-diff"/>
                <w:b/>
                <w:i/>
                <w:lang w:val="en-GB"/>
              </w:rPr>
              <w:t xml:space="preserve">a </w:t>
            </w:r>
            <w:r w:rsidRPr="00941D7C">
              <w:rPr>
                <w:rStyle w:val="highlight-diff"/>
                <w:b/>
                <w:i/>
                <w:lang w:val="en-GB"/>
              </w:rPr>
              <w:t xml:space="preserve">decision. Companies should also assess if the adverse impacts from suspension can be reasonably expected to be manifestly more severe than the adverse impact that could not be prevented or adequately mitigated. Should that be the case, the company should not be required to suspend the business relationship and should be </w:t>
            </w:r>
            <w:proofErr w:type="gramStart"/>
            <w:r w:rsidRPr="00941D7C">
              <w:rPr>
                <w:rStyle w:val="highlight-diff"/>
                <w:b/>
                <w:i/>
                <w:lang w:val="en-GB"/>
              </w:rPr>
              <w:t>in a position</w:t>
            </w:r>
            <w:proofErr w:type="gramEnd"/>
            <w:r w:rsidRPr="00941D7C">
              <w:rPr>
                <w:rStyle w:val="highlight-diff"/>
                <w:b/>
                <w:i/>
                <w:lang w:val="en-GB"/>
              </w:rPr>
              <w:t xml:space="preserve"> to report to the competent supervisory authority about the duly justified reasons for such</w:t>
            </w:r>
            <w:r w:rsidR="006A06F5" w:rsidRPr="00941D7C">
              <w:rPr>
                <w:rStyle w:val="highlight-diff"/>
                <w:b/>
                <w:i/>
                <w:lang w:val="en-GB"/>
              </w:rPr>
              <w:t xml:space="preserve"> a</w:t>
            </w:r>
            <w:r w:rsidRPr="00941D7C">
              <w:rPr>
                <w:rStyle w:val="highlight-diff"/>
                <w:b/>
                <w:i/>
                <w:lang w:val="en-GB"/>
              </w:rPr>
              <w:t xml:space="preserve"> decision.</w:t>
            </w:r>
            <w:r w:rsidRPr="00941D7C">
              <w:rPr>
                <w:lang w:val="en-GB"/>
              </w:rPr>
              <w:t xml:space="preserve"> </w:t>
            </w:r>
          </w:p>
        </w:tc>
      </w:tr>
    </w:tbl>
    <w:p w14:paraId="7C155BEA"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5A742C0C" w14:textId="77777777" w:rsidR="00EE4038" w:rsidRPr="00941D7C" w:rsidRDefault="00EE4038" w:rsidP="00EE4038">
      <w:r w:rsidRPr="00941D7C">
        <w:rPr>
          <w:rStyle w:val="HideTWBExt"/>
        </w:rPr>
        <w:t>&lt;/Amend&gt;</w:t>
      </w:r>
    </w:p>
    <w:p w14:paraId="35CAB4EE" w14:textId="14BF70FD"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19</w:t>
      </w:r>
      <w:r w:rsidRPr="00941D7C">
        <w:rPr>
          <w:rStyle w:val="HideTWBExt"/>
          <w:lang w:val="en-GB"/>
        </w:rPr>
        <w:t>&lt;/NumAm&gt;</w:t>
      </w:r>
    </w:p>
    <w:p w14:paraId="3C8BEFDE"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5F7DF695" w14:textId="77777777" w:rsidR="00EE4038" w:rsidRPr="00941D7C" w:rsidRDefault="00EE4038" w:rsidP="00EE4038">
      <w:pPr>
        <w:pStyle w:val="NormalBold"/>
      </w:pPr>
      <w:r w:rsidRPr="00941D7C">
        <w:rPr>
          <w:rStyle w:val="HideTWBExt"/>
        </w:rPr>
        <w:t>&lt;Article&gt;</w:t>
      </w:r>
      <w:r w:rsidRPr="00941D7C">
        <w:t>Recital 25</w:t>
      </w:r>
      <w:r w:rsidRPr="00941D7C">
        <w:rPr>
          <w:rStyle w:val="HideTWBExt"/>
        </w:rPr>
        <w:t>&lt;/Article&gt;</w:t>
      </w:r>
    </w:p>
    <w:tbl>
      <w:tblPr>
        <w:tblW w:w="0"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32F79196" w14:textId="77777777" w:rsidTr="00EE4038">
        <w:trPr>
          <w:jc w:val="center"/>
        </w:trPr>
        <w:tc>
          <w:tcPr>
            <w:tcW w:w="9752" w:type="dxa"/>
            <w:gridSpan w:val="2"/>
          </w:tcPr>
          <w:p w14:paraId="7E699149" w14:textId="77777777" w:rsidR="00EE4038" w:rsidRPr="00941D7C" w:rsidRDefault="00EE4038">
            <w:pPr>
              <w:keepNext/>
            </w:pPr>
          </w:p>
        </w:tc>
      </w:tr>
      <w:tr w:rsidR="00EE4038" w:rsidRPr="00941D7C" w14:paraId="4BB28141" w14:textId="77777777" w:rsidTr="00EE4038">
        <w:trPr>
          <w:jc w:val="center"/>
        </w:trPr>
        <w:tc>
          <w:tcPr>
            <w:tcW w:w="4876" w:type="dxa"/>
            <w:hideMark/>
          </w:tcPr>
          <w:p w14:paraId="5E98E8E7"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2B2BD5B6" w14:textId="77777777" w:rsidR="00EE4038" w:rsidRPr="00941D7C" w:rsidRDefault="00EE4038">
            <w:pPr>
              <w:pStyle w:val="ColumnHeading"/>
              <w:keepNext/>
              <w:rPr>
                <w:lang w:val="en-GB"/>
              </w:rPr>
            </w:pPr>
            <w:r w:rsidRPr="00941D7C">
              <w:rPr>
                <w:lang w:val="en-GB"/>
              </w:rPr>
              <w:t>Amendment</w:t>
            </w:r>
          </w:p>
        </w:tc>
      </w:tr>
      <w:tr w:rsidR="00EE4038" w:rsidRPr="00941D7C" w14:paraId="18896933" w14:textId="77777777" w:rsidTr="00EE4038">
        <w:trPr>
          <w:jc w:val="center"/>
        </w:trPr>
        <w:tc>
          <w:tcPr>
            <w:tcW w:w="4876" w:type="dxa"/>
            <w:hideMark/>
          </w:tcPr>
          <w:p w14:paraId="1A158829" w14:textId="77777777" w:rsidR="00EE4038" w:rsidRPr="00941D7C" w:rsidRDefault="00EE4038">
            <w:pPr>
              <w:pStyle w:val="Normal6"/>
              <w:rPr>
                <w:lang w:val="en-GB"/>
              </w:rPr>
            </w:pPr>
            <w:r w:rsidRPr="00941D7C">
              <w:rPr>
                <w:lang w:val="en-GB"/>
              </w:rPr>
              <w:t>(25)</w:t>
            </w:r>
            <w:r w:rsidRPr="00941D7C">
              <w:rPr>
                <w:lang w:val="en-GB"/>
              </w:rPr>
              <w:tab/>
              <w:t>To reduce administrative burdens on companies, the Commission’s deadline for the adoption of general due diligence guidelines should be advanced to 26 July 2026. In parallel, the application deadline for Directive (EU) 2024/1760 for the first group of companies should be deferred to 26 July 2028 in accordance with Directive (EU) XXX/XXX</w:t>
            </w:r>
            <w:proofErr w:type="gramStart"/>
            <w:r w:rsidRPr="00941D7C">
              <w:rPr>
                <w:vertAlign w:val="superscript"/>
                <w:lang w:val="en-GB"/>
              </w:rPr>
              <w:t>13</w:t>
            </w:r>
            <w:r w:rsidRPr="00941D7C">
              <w:rPr>
                <w:lang w:val="en-GB"/>
              </w:rPr>
              <w:t xml:space="preserve"> .</w:t>
            </w:r>
            <w:proofErr w:type="gramEnd"/>
            <w:r w:rsidRPr="00941D7C">
              <w:rPr>
                <w:lang w:val="en-GB"/>
              </w:rPr>
              <w:t xml:space="preserve"> That two-year interval </w:t>
            </w:r>
            <w:r w:rsidRPr="00941D7C">
              <w:rPr>
                <w:b/>
                <w:i/>
                <w:lang w:val="en-GB"/>
              </w:rPr>
              <w:t>will</w:t>
            </w:r>
            <w:r w:rsidRPr="00941D7C">
              <w:rPr>
                <w:lang w:val="en-GB"/>
              </w:rPr>
              <w:t xml:space="preserve"> should provide companies with sufficient time to </w:t>
            </w:r>
            <w:proofErr w:type="gramStart"/>
            <w:r w:rsidRPr="00941D7C">
              <w:rPr>
                <w:lang w:val="en-GB"/>
              </w:rPr>
              <w:t>take into account</w:t>
            </w:r>
            <w:proofErr w:type="gramEnd"/>
            <w:r w:rsidRPr="00941D7C">
              <w:rPr>
                <w:lang w:val="en-GB"/>
              </w:rPr>
              <w:t xml:space="preserve"> the practical guidance and best practices included in the Commission’s guidelines when implementing due diligence measures.</w:t>
            </w:r>
          </w:p>
        </w:tc>
        <w:tc>
          <w:tcPr>
            <w:tcW w:w="4876" w:type="dxa"/>
            <w:hideMark/>
          </w:tcPr>
          <w:p w14:paraId="471555CD" w14:textId="77777777" w:rsidR="00EE4038" w:rsidRPr="00941D7C" w:rsidRDefault="00EE4038">
            <w:pPr>
              <w:pStyle w:val="Normal6"/>
              <w:rPr>
                <w:szCs w:val="24"/>
                <w:lang w:val="en-GB"/>
              </w:rPr>
            </w:pPr>
            <w:r w:rsidRPr="00941D7C">
              <w:rPr>
                <w:lang w:val="en-GB"/>
              </w:rPr>
              <w:t>(25)</w:t>
            </w:r>
            <w:r w:rsidRPr="00941D7C">
              <w:rPr>
                <w:lang w:val="en-GB"/>
              </w:rPr>
              <w:tab/>
              <w:t>To reduce administrative burdens on companies, the Commission’s deadline for the adoption of general due diligence guidelines should be advanced to 26 July 2026. In parallel, the application deadline for Directive (EU) 2024/1760 for the first group of companies should be deferred to 26 July 2028 in accordance with Directive (EU) XXX/XXX</w:t>
            </w:r>
            <w:r w:rsidRPr="00941D7C">
              <w:rPr>
                <w:vertAlign w:val="superscript"/>
                <w:lang w:val="en-GB"/>
              </w:rPr>
              <w:t>13</w:t>
            </w:r>
            <w:r w:rsidRPr="00941D7C">
              <w:rPr>
                <w:lang w:val="en-GB"/>
              </w:rPr>
              <w:t xml:space="preserve">. That two-year interval should provide companies with sufficient time to </w:t>
            </w:r>
            <w:proofErr w:type="gramStart"/>
            <w:r w:rsidRPr="00941D7C">
              <w:rPr>
                <w:lang w:val="en-GB"/>
              </w:rPr>
              <w:t>take into account</w:t>
            </w:r>
            <w:proofErr w:type="gramEnd"/>
            <w:r w:rsidRPr="00941D7C">
              <w:rPr>
                <w:lang w:val="en-GB"/>
              </w:rPr>
              <w:t xml:space="preserve"> the practical guidance and best practices included in the Commission’s guidelines when implementing due diligence measures.</w:t>
            </w:r>
          </w:p>
        </w:tc>
      </w:tr>
      <w:tr w:rsidR="00EE4038" w:rsidRPr="00941D7C" w14:paraId="40A4B0CA" w14:textId="77777777" w:rsidTr="00EE4038">
        <w:trPr>
          <w:jc w:val="center"/>
        </w:trPr>
        <w:tc>
          <w:tcPr>
            <w:tcW w:w="4876" w:type="dxa"/>
            <w:hideMark/>
          </w:tcPr>
          <w:p w14:paraId="6A958731" w14:textId="77777777" w:rsidR="00EE4038" w:rsidRPr="00941D7C" w:rsidRDefault="00EE4038">
            <w:pPr>
              <w:pStyle w:val="Normal6"/>
              <w:rPr>
                <w:lang w:val="en-GB"/>
              </w:rPr>
            </w:pPr>
            <w:r w:rsidRPr="00941D7C">
              <w:rPr>
                <w:lang w:val="en-GB"/>
              </w:rPr>
              <w:t>__________________</w:t>
            </w:r>
          </w:p>
        </w:tc>
        <w:tc>
          <w:tcPr>
            <w:tcW w:w="4876" w:type="dxa"/>
            <w:hideMark/>
          </w:tcPr>
          <w:p w14:paraId="05704F73" w14:textId="77777777" w:rsidR="00EE4038" w:rsidRPr="00941D7C" w:rsidRDefault="00EE4038">
            <w:pPr>
              <w:pStyle w:val="Normal6"/>
              <w:rPr>
                <w:szCs w:val="24"/>
                <w:lang w:val="en-GB"/>
              </w:rPr>
            </w:pPr>
            <w:r w:rsidRPr="00941D7C">
              <w:rPr>
                <w:lang w:val="en-GB"/>
              </w:rPr>
              <w:t>__________________</w:t>
            </w:r>
          </w:p>
        </w:tc>
      </w:tr>
      <w:tr w:rsidR="00EE4038" w:rsidRPr="00941D7C" w14:paraId="7F8EF634" w14:textId="77777777" w:rsidTr="00EE4038">
        <w:trPr>
          <w:jc w:val="center"/>
        </w:trPr>
        <w:tc>
          <w:tcPr>
            <w:tcW w:w="4876" w:type="dxa"/>
            <w:hideMark/>
          </w:tcPr>
          <w:p w14:paraId="091F1033" w14:textId="77777777" w:rsidR="00EE4038" w:rsidRPr="00941D7C" w:rsidRDefault="00EE4038">
            <w:pPr>
              <w:pStyle w:val="Normal6"/>
              <w:rPr>
                <w:lang w:val="en-GB"/>
              </w:rPr>
            </w:pPr>
            <w:r w:rsidRPr="00941D7C">
              <w:rPr>
                <w:vertAlign w:val="superscript"/>
                <w:lang w:val="en-GB"/>
              </w:rPr>
              <w:t>13</w:t>
            </w:r>
            <w:r w:rsidRPr="00941D7C">
              <w:rPr>
                <w:lang w:val="en-GB"/>
              </w:rPr>
              <w:t xml:space="preserve"> Directive (EU) 2025/XX of ……….</w:t>
            </w:r>
          </w:p>
        </w:tc>
        <w:tc>
          <w:tcPr>
            <w:tcW w:w="4876" w:type="dxa"/>
            <w:hideMark/>
          </w:tcPr>
          <w:p w14:paraId="07BD2DB4" w14:textId="77777777" w:rsidR="00EE4038" w:rsidRPr="00941D7C" w:rsidRDefault="00EE4038">
            <w:pPr>
              <w:pStyle w:val="Normal6"/>
              <w:rPr>
                <w:szCs w:val="24"/>
                <w:lang w:val="en-GB"/>
              </w:rPr>
            </w:pPr>
            <w:r w:rsidRPr="00941D7C">
              <w:rPr>
                <w:vertAlign w:val="superscript"/>
                <w:lang w:val="en-GB"/>
              </w:rPr>
              <w:t>13</w:t>
            </w:r>
            <w:r w:rsidRPr="00941D7C">
              <w:rPr>
                <w:lang w:val="en-GB"/>
              </w:rPr>
              <w:t xml:space="preserve"> Directive (EU) 2025/XX of ……….</w:t>
            </w:r>
          </w:p>
        </w:tc>
      </w:tr>
    </w:tbl>
    <w:p w14:paraId="2A88225A"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439A9B1B" w14:textId="77777777" w:rsidR="00EE4038" w:rsidRPr="00941D7C" w:rsidRDefault="00EE4038" w:rsidP="00EE4038">
      <w:r w:rsidRPr="00941D7C">
        <w:rPr>
          <w:rStyle w:val="HideTWBExt"/>
        </w:rPr>
        <w:t>&lt;/Amend&gt;</w:t>
      </w:r>
    </w:p>
    <w:p w14:paraId="1D3D2E6E" w14:textId="0F5E4CF1"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20</w:t>
      </w:r>
      <w:r w:rsidRPr="00941D7C">
        <w:rPr>
          <w:rStyle w:val="HideTWBExt"/>
          <w:lang w:val="en-GB"/>
        </w:rPr>
        <w:t>&lt;/NumAm&gt;</w:t>
      </w:r>
    </w:p>
    <w:p w14:paraId="4F2B00B6"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3FC71C49" w14:textId="77777777" w:rsidR="00EE4038" w:rsidRPr="00941D7C" w:rsidRDefault="00EE4038" w:rsidP="00EE4038">
      <w:pPr>
        <w:pStyle w:val="NormalBold"/>
      </w:pPr>
      <w:r w:rsidRPr="00941D7C">
        <w:rPr>
          <w:rStyle w:val="HideTWBExt"/>
        </w:rPr>
        <w:t>&lt;Article&gt;</w:t>
      </w:r>
      <w:r w:rsidRPr="00941D7C">
        <w:t>Recital 26</w:t>
      </w:r>
      <w:r w:rsidRPr="00941D7C">
        <w:rPr>
          <w:rStyle w:val="HideTWBExt"/>
        </w:rPr>
        <w:t>&lt;/Article&gt;</w:t>
      </w:r>
    </w:p>
    <w:tbl>
      <w:tblPr>
        <w:tblW w:w="0"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71154098" w14:textId="77777777" w:rsidTr="00EE4038">
        <w:trPr>
          <w:jc w:val="center"/>
        </w:trPr>
        <w:tc>
          <w:tcPr>
            <w:tcW w:w="9752" w:type="dxa"/>
            <w:gridSpan w:val="2"/>
          </w:tcPr>
          <w:p w14:paraId="5494F203" w14:textId="77777777" w:rsidR="00EE4038" w:rsidRPr="00941D7C" w:rsidRDefault="00EE4038">
            <w:pPr>
              <w:keepNext/>
            </w:pPr>
          </w:p>
        </w:tc>
      </w:tr>
      <w:tr w:rsidR="00EE4038" w:rsidRPr="00941D7C" w14:paraId="36228847" w14:textId="77777777" w:rsidTr="00EE4038">
        <w:trPr>
          <w:jc w:val="center"/>
        </w:trPr>
        <w:tc>
          <w:tcPr>
            <w:tcW w:w="4876" w:type="dxa"/>
            <w:hideMark/>
          </w:tcPr>
          <w:p w14:paraId="575BE973"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7C17BFB5" w14:textId="77777777" w:rsidR="00EE4038" w:rsidRPr="00941D7C" w:rsidRDefault="00EE4038">
            <w:pPr>
              <w:pStyle w:val="ColumnHeading"/>
              <w:keepNext/>
              <w:rPr>
                <w:lang w:val="en-GB"/>
              </w:rPr>
            </w:pPr>
            <w:r w:rsidRPr="00941D7C">
              <w:rPr>
                <w:lang w:val="en-GB"/>
              </w:rPr>
              <w:t>Amendment</w:t>
            </w:r>
          </w:p>
        </w:tc>
      </w:tr>
      <w:tr w:rsidR="00EE4038" w:rsidRPr="00941D7C" w14:paraId="0DCF4491" w14:textId="77777777" w:rsidTr="00EE4038">
        <w:trPr>
          <w:jc w:val="center"/>
        </w:trPr>
        <w:tc>
          <w:tcPr>
            <w:tcW w:w="4876" w:type="dxa"/>
            <w:hideMark/>
          </w:tcPr>
          <w:p w14:paraId="65D2D9A4" w14:textId="77777777" w:rsidR="00EE4038" w:rsidRPr="00941D7C" w:rsidRDefault="00EE4038">
            <w:pPr>
              <w:pStyle w:val="Normal6"/>
              <w:rPr>
                <w:lang w:val="en-GB"/>
              </w:rPr>
            </w:pPr>
            <w:r w:rsidRPr="00941D7C">
              <w:rPr>
                <w:lang w:val="en-GB"/>
              </w:rPr>
              <w:t>(26)</w:t>
            </w:r>
            <w:r w:rsidRPr="00941D7C">
              <w:rPr>
                <w:lang w:val="en-GB"/>
              </w:rPr>
              <w:tab/>
            </w:r>
            <w:r w:rsidRPr="00941D7C">
              <w:rPr>
                <w:b/>
                <w:i/>
                <w:lang w:val="en-GB"/>
              </w:rPr>
              <w:t>To ensure better alignment</w:t>
            </w:r>
            <w:r w:rsidRPr="00941D7C">
              <w:rPr>
                <w:lang w:val="en-GB"/>
              </w:rPr>
              <w:t xml:space="preserve"> of Directive (EU) 2024/1760 </w:t>
            </w:r>
            <w:r w:rsidRPr="00941D7C">
              <w:rPr>
                <w:b/>
                <w:i/>
                <w:lang w:val="en-GB"/>
              </w:rPr>
              <w:t>with the sustainability reporting regime laid down in Directive (EU) 2022/2464, the requirement to put into effect</w:t>
            </w:r>
            <w:r w:rsidRPr="00941D7C">
              <w:rPr>
                <w:lang w:val="en-GB"/>
              </w:rPr>
              <w:t xml:space="preserve"> the transition plan for climate change </w:t>
            </w:r>
            <w:r w:rsidRPr="00941D7C">
              <w:rPr>
                <w:b/>
                <w:i/>
                <w:lang w:val="en-GB"/>
              </w:rPr>
              <w:t>mitigation should be replaced by a clarification that the obligation of companies to adopt a transition plan includes outlining implementing actions, planned and taken. The obligation to adopt the plan and its initial and updated design remains subject to</w:t>
            </w:r>
            <w:r w:rsidRPr="00941D7C">
              <w:rPr>
                <w:lang w:val="en-GB"/>
              </w:rPr>
              <w:t xml:space="preserve"> administrative </w:t>
            </w:r>
            <w:r w:rsidRPr="00941D7C">
              <w:rPr>
                <w:b/>
                <w:i/>
                <w:lang w:val="en-GB"/>
              </w:rPr>
              <w:t>supervision</w:t>
            </w:r>
            <w:r w:rsidRPr="00941D7C">
              <w:rPr>
                <w:lang w:val="en-GB"/>
              </w:rPr>
              <w:t>.</w:t>
            </w:r>
          </w:p>
        </w:tc>
        <w:tc>
          <w:tcPr>
            <w:tcW w:w="4876" w:type="dxa"/>
            <w:hideMark/>
          </w:tcPr>
          <w:p w14:paraId="64F45E37" w14:textId="7BE294E6" w:rsidR="00EE4038" w:rsidRPr="00941D7C" w:rsidRDefault="00EE4038" w:rsidP="007C6F83">
            <w:pPr>
              <w:pStyle w:val="Normal6"/>
              <w:rPr>
                <w:szCs w:val="24"/>
                <w:lang w:val="en-GB"/>
              </w:rPr>
            </w:pPr>
            <w:r w:rsidRPr="00941D7C">
              <w:rPr>
                <w:lang w:val="en-GB"/>
              </w:rPr>
              <w:t>(26)</w:t>
            </w:r>
            <w:r w:rsidRPr="00941D7C">
              <w:rPr>
                <w:lang w:val="en-GB"/>
              </w:rPr>
              <w:tab/>
            </w:r>
            <w:r w:rsidRPr="00941D7C">
              <w:rPr>
                <w:b/>
                <w:i/>
                <w:lang w:val="en-GB"/>
              </w:rPr>
              <w:t>The provisions</w:t>
            </w:r>
            <w:r w:rsidRPr="00941D7C">
              <w:rPr>
                <w:lang w:val="en-GB"/>
              </w:rPr>
              <w:t xml:space="preserve"> of Directive (EU) 2024/1760 </w:t>
            </w:r>
            <w:r w:rsidRPr="00941D7C">
              <w:rPr>
                <w:b/>
                <w:i/>
                <w:lang w:val="en-GB"/>
              </w:rPr>
              <w:t>on</w:t>
            </w:r>
            <w:r w:rsidRPr="00941D7C">
              <w:rPr>
                <w:lang w:val="en-GB"/>
              </w:rPr>
              <w:t xml:space="preserve"> the transition plan for climate change </w:t>
            </w:r>
            <w:r w:rsidR="006A06F5" w:rsidRPr="00941D7C">
              <w:rPr>
                <w:b/>
                <w:i/>
                <w:lang w:val="en-GB"/>
              </w:rPr>
              <w:t xml:space="preserve">have been </w:t>
            </w:r>
            <w:r w:rsidRPr="00941D7C">
              <w:rPr>
                <w:b/>
                <w:i/>
                <w:lang w:val="en-GB"/>
              </w:rPr>
              <w:t>deemed to be disproportionate</w:t>
            </w:r>
            <w:r w:rsidR="007C6F83" w:rsidRPr="00941D7C">
              <w:rPr>
                <w:b/>
                <w:i/>
                <w:lang w:val="en-GB"/>
              </w:rPr>
              <w:t>,</w:t>
            </w:r>
            <w:r w:rsidRPr="00941D7C">
              <w:rPr>
                <w:b/>
                <w:i/>
                <w:lang w:val="en-GB"/>
              </w:rPr>
              <w:t xml:space="preserve"> particularly </w:t>
            </w:r>
            <w:r w:rsidR="007C6F83" w:rsidRPr="00941D7C">
              <w:rPr>
                <w:b/>
                <w:i/>
                <w:lang w:val="en-GB"/>
              </w:rPr>
              <w:t xml:space="preserve">due to </w:t>
            </w:r>
            <w:r w:rsidRPr="00941D7C">
              <w:rPr>
                <w:b/>
                <w:i/>
                <w:lang w:val="en-GB"/>
              </w:rPr>
              <w:t>the</w:t>
            </w:r>
            <w:r w:rsidRPr="00941D7C">
              <w:rPr>
                <w:lang w:val="en-GB"/>
              </w:rPr>
              <w:t xml:space="preserve"> administrative </w:t>
            </w:r>
            <w:r w:rsidRPr="00941D7C">
              <w:rPr>
                <w:b/>
                <w:i/>
                <w:lang w:val="en-GB"/>
              </w:rPr>
              <w:t xml:space="preserve">burden on companies and competent </w:t>
            </w:r>
            <w:proofErr w:type="gramStart"/>
            <w:r w:rsidRPr="00941D7C">
              <w:rPr>
                <w:b/>
                <w:i/>
                <w:lang w:val="en-GB"/>
              </w:rPr>
              <w:t>authorities, and</w:t>
            </w:r>
            <w:proofErr w:type="gramEnd"/>
            <w:r w:rsidRPr="00941D7C">
              <w:rPr>
                <w:b/>
                <w:i/>
                <w:lang w:val="en-GB"/>
              </w:rPr>
              <w:t xml:space="preserve"> </w:t>
            </w:r>
            <w:r w:rsidR="007C6F83" w:rsidRPr="00941D7C">
              <w:rPr>
                <w:b/>
                <w:i/>
                <w:lang w:val="en-GB"/>
              </w:rPr>
              <w:t xml:space="preserve">could </w:t>
            </w:r>
            <w:r w:rsidRPr="00941D7C">
              <w:rPr>
                <w:b/>
                <w:i/>
                <w:lang w:val="en-GB"/>
              </w:rPr>
              <w:t>lead to legal uncertainty</w:t>
            </w:r>
            <w:r w:rsidRPr="00941D7C">
              <w:rPr>
                <w:lang w:val="en-GB"/>
              </w:rPr>
              <w:t xml:space="preserve">. </w:t>
            </w:r>
            <w:r w:rsidR="007C6F83" w:rsidRPr="00941D7C">
              <w:rPr>
                <w:b/>
                <w:i/>
                <w:lang w:val="en-GB"/>
              </w:rPr>
              <w:t xml:space="preserve">It is necessary to </w:t>
            </w:r>
            <w:r w:rsidRPr="00941D7C">
              <w:rPr>
                <w:b/>
                <w:i/>
                <w:lang w:val="en-GB"/>
              </w:rPr>
              <w:t xml:space="preserve">repeal those provisions </w:t>
            </w:r>
            <w:proofErr w:type="gramStart"/>
            <w:r w:rsidRPr="00941D7C">
              <w:rPr>
                <w:b/>
                <w:i/>
                <w:lang w:val="en-GB"/>
              </w:rPr>
              <w:t>in order to</w:t>
            </w:r>
            <w:proofErr w:type="gramEnd"/>
            <w:r w:rsidRPr="00941D7C">
              <w:rPr>
                <w:b/>
                <w:i/>
                <w:lang w:val="en-GB"/>
              </w:rPr>
              <w:t xml:space="preserve"> streamline obligations and support a more targeted and efficient implementation of th</w:t>
            </w:r>
            <w:r w:rsidR="007C6F83" w:rsidRPr="00941D7C">
              <w:rPr>
                <w:b/>
                <w:i/>
                <w:lang w:val="en-GB"/>
              </w:rPr>
              <w:t>at</w:t>
            </w:r>
            <w:r w:rsidRPr="00941D7C">
              <w:rPr>
                <w:b/>
                <w:i/>
                <w:lang w:val="en-GB"/>
              </w:rPr>
              <w:t xml:space="preserve"> Directive.</w:t>
            </w:r>
          </w:p>
        </w:tc>
      </w:tr>
    </w:tbl>
    <w:p w14:paraId="63862752"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2C9F5AEB" w14:textId="77777777" w:rsidR="00EE4038" w:rsidRPr="00941D7C" w:rsidRDefault="00EE4038" w:rsidP="00EE4038">
      <w:r w:rsidRPr="00941D7C">
        <w:rPr>
          <w:rStyle w:val="HideTWBExt"/>
        </w:rPr>
        <w:t>&lt;/Amend&gt;</w:t>
      </w:r>
    </w:p>
    <w:p w14:paraId="786FB2F3" w14:textId="3E7726AA"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21</w:t>
      </w:r>
      <w:r w:rsidRPr="00941D7C">
        <w:rPr>
          <w:rStyle w:val="HideTWBExt"/>
          <w:lang w:val="en-GB"/>
        </w:rPr>
        <w:t>&lt;/NumAm&gt;</w:t>
      </w:r>
    </w:p>
    <w:p w14:paraId="7030FC5A"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224DEE13" w14:textId="77777777" w:rsidR="00EE4038" w:rsidRPr="00941D7C" w:rsidRDefault="00EE4038" w:rsidP="00EE4038">
      <w:pPr>
        <w:pStyle w:val="NormalBold"/>
      </w:pPr>
      <w:r w:rsidRPr="00941D7C">
        <w:rPr>
          <w:rStyle w:val="HideTWBExt"/>
        </w:rPr>
        <w:t>&lt;Article&gt;</w:t>
      </w:r>
      <w:r w:rsidRPr="00941D7C">
        <w:t>Recital 29 a (new)</w:t>
      </w:r>
      <w:r w:rsidRPr="00941D7C">
        <w:rPr>
          <w:rStyle w:val="HideTWBExt"/>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4CD02279" w14:textId="77777777" w:rsidTr="007C6F83">
        <w:trPr>
          <w:jc w:val="center"/>
        </w:trPr>
        <w:tc>
          <w:tcPr>
            <w:tcW w:w="9752" w:type="dxa"/>
            <w:gridSpan w:val="2"/>
          </w:tcPr>
          <w:p w14:paraId="22B31F9A" w14:textId="77777777" w:rsidR="00EE4038" w:rsidRPr="00941D7C" w:rsidRDefault="00EE4038">
            <w:pPr>
              <w:keepNext/>
            </w:pPr>
          </w:p>
        </w:tc>
      </w:tr>
      <w:tr w:rsidR="00EE4038" w:rsidRPr="00941D7C" w14:paraId="281660CD" w14:textId="77777777" w:rsidTr="007C6F83">
        <w:trPr>
          <w:jc w:val="center"/>
        </w:trPr>
        <w:tc>
          <w:tcPr>
            <w:tcW w:w="4876" w:type="dxa"/>
            <w:hideMark/>
          </w:tcPr>
          <w:p w14:paraId="67C75964"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65BD3E92" w14:textId="77777777" w:rsidR="00EE4038" w:rsidRPr="00941D7C" w:rsidRDefault="00EE4038">
            <w:pPr>
              <w:pStyle w:val="ColumnHeading"/>
              <w:keepNext/>
              <w:rPr>
                <w:lang w:val="en-GB"/>
              </w:rPr>
            </w:pPr>
            <w:r w:rsidRPr="00941D7C">
              <w:rPr>
                <w:lang w:val="en-GB"/>
              </w:rPr>
              <w:t>Amendment</w:t>
            </w:r>
          </w:p>
        </w:tc>
      </w:tr>
      <w:tr w:rsidR="00EE4038" w:rsidRPr="00941D7C" w14:paraId="03BCBE74" w14:textId="77777777" w:rsidTr="007C6F83">
        <w:trPr>
          <w:jc w:val="center"/>
        </w:trPr>
        <w:tc>
          <w:tcPr>
            <w:tcW w:w="4876" w:type="dxa"/>
          </w:tcPr>
          <w:p w14:paraId="7D8C5250" w14:textId="77777777" w:rsidR="00EE4038" w:rsidRPr="00941D7C" w:rsidRDefault="00EE4038">
            <w:pPr>
              <w:pStyle w:val="Normal6"/>
              <w:rPr>
                <w:lang w:val="en-GB"/>
              </w:rPr>
            </w:pPr>
          </w:p>
        </w:tc>
        <w:tc>
          <w:tcPr>
            <w:tcW w:w="4876" w:type="dxa"/>
            <w:hideMark/>
          </w:tcPr>
          <w:p w14:paraId="0B3ECFF6" w14:textId="14A567B7" w:rsidR="00EE4038" w:rsidRPr="00941D7C" w:rsidRDefault="00EE4038" w:rsidP="00CC790A">
            <w:pPr>
              <w:pStyle w:val="Normal6"/>
              <w:rPr>
                <w:szCs w:val="24"/>
                <w:lang w:val="en-GB"/>
              </w:rPr>
            </w:pPr>
            <w:r w:rsidRPr="00941D7C">
              <w:rPr>
                <w:b/>
                <w:i/>
                <w:lang w:val="en-GB"/>
              </w:rPr>
              <w:t>(29a)</w:t>
            </w:r>
            <w:r w:rsidRPr="00941D7C">
              <w:rPr>
                <w:b/>
                <w:i/>
                <w:lang w:val="en-GB"/>
              </w:rPr>
              <w:tab/>
              <w:t>In order to facilitate compliance by companies with reporting and due diligence obligations under Union law, and to enhance the accessibility and usability of sustainability-related information, the Commission should establish a dedicated digital reporting portal. That portal should serve as a one-stop shop, providing companies, free of charge, with tailored access to templates, reporting requirements, and information on funding and tendering opportunities. To ensure the effective functioning of the portal, the Commission should promote the interoperability of existing data platforms, enabling seamless transmission, exchange and analysis of data. Furthermore, and in view of the rapid technological developments, the Commission should assess the potential of technological solutions, including the use of trustworthy artificial intelligence in accordance with Regulation (EU) 2024/</w:t>
            </w:r>
            <w:proofErr w:type="gramStart"/>
            <w:r w:rsidRPr="00941D7C">
              <w:rPr>
                <w:b/>
                <w:i/>
                <w:lang w:val="en-GB"/>
              </w:rPr>
              <w:t>1689</w:t>
            </w:r>
            <w:r w:rsidR="007C6F83" w:rsidRPr="00941D7C">
              <w:rPr>
                <w:b/>
                <w:i/>
                <w:lang w:val="en-GB"/>
              </w:rPr>
              <w:t xml:space="preserve">  of</w:t>
            </w:r>
            <w:proofErr w:type="gramEnd"/>
            <w:r w:rsidR="007C6F83" w:rsidRPr="00941D7C">
              <w:rPr>
                <w:b/>
                <w:i/>
                <w:lang w:val="en-GB"/>
              </w:rPr>
              <w:t xml:space="preserve"> the European Parliament and of the Council</w:t>
            </w:r>
            <w:r w:rsidR="00CC790A" w:rsidRPr="00941D7C">
              <w:rPr>
                <w:b/>
                <w:i/>
                <w:vertAlign w:val="superscript"/>
                <w:lang w:val="en-GB"/>
              </w:rPr>
              <w:t>1a</w:t>
            </w:r>
            <w:r w:rsidRPr="00941D7C">
              <w:rPr>
                <w:b/>
                <w:i/>
                <w:lang w:val="en-GB"/>
              </w:rPr>
              <w:t xml:space="preserve"> to support the digitalisation of reporting and improve the quality and accessibility of sustainability-related data.</w:t>
            </w:r>
          </w:p>
        </w:tc>
      </w:tr>
      <w:tr w:rsidR="007C6F83" w:rsidRPr="00941D7C" w14:paraId="5EAD9545" w14:textId="77777777" w:rsidTr="007C6F83">
        <w:trPr>
          <w:jc w:val="center"/>
        </w:trPr>
        <w:tc>
          <w:tcPr>
            <w:tcW w:w="4876" w:type="dxa"/>
          </w:tcPr>
          <w:p w14:paraId="4D2137DB" w14:textId="77777777" w:rsidR="007C6F83" w:rsidRPr="00941D7C" w:rsidRDefault="007C6F83">
            <w:pPr>
              <w:pStyle w:val="Normal6"/>
              <w:rPr>
                <w:lang w:val="en-GB"/>
              </w:rPr>
            </w:pPr>
          </w:p>
        </w:tc>
        <w:tc>
          <w:tcPr>
            <w:tcW w:w="4876" w:type="dxa"/>
          </w:tcPr>
          <w:p w14:paraId="0E689F22" w14:textId="6A9FFCFE" w:rsidR="007C6F83" w:rsidRPr="00941D7C" w:rsidRDefault="007C6F83" w:rsidP="007C6F83">
            <w:pPr>
              <w:pStyle w:val="Normal6"/>
              <w:rPr>
                <w:b/>
                <w:i/>
                <w:lang w:val="en-GB"/>
              </w:rPr>
            </w:pPr>
            <w:r w:rsidRPr="00941D7C">
              <w:rPr>
                <w:b/>
                <w:i/>
                <w:lang w:val="en-GB"/>
              </w:rPr>
              <w:t>__________________</w:t>
            </w:r>
          </w:p>
        </w:tc>
      </w:tr>
      <w:tr w:rsidR="007C6F83" w:rsidRPr="00941D7C" w14:paraId="197DE6D8" w14:textId="77777777" w:rsidTr="007C6F83">
        <w:trPr>
          <w:jc w:val="center"/>
        </w:trPr>
        <w:tc>
          <w:tcPr>
            <w:tcW w:w="4876" w:type="dxa"/>
          </w:tcPr>
          <w:p w14:paraId="2DE5C410" w14:textId="77777777" w:rsidR="007C6F83" w:rsidRPr="00941D7C" w:rsidRDefault="007C6F83" w:rsidP="007C6F83">
            <w:pPr>
              <w:pStyle w:val="Normal6"/>
              <w:rPr>
                <w:lang w:val="en-GB"/>
              </w:rPr>
            </w:pPr>
          </w:p>
        </w:tc>
        <w:tc>
          <w:tcPr>
            <w:tcW w:w="4876" w:type="dxa"/>
          </w:tcPr>
          <w:p w14:paraId="629F6F4E" w14:textId="7C20CA4F" w:rsidR="007C6F83" w:rsidRPr="00941D7C" w:rsidRDefault="00CC790A" w:rsidP="00775E11">
            <w:pPr>
              <w:pStyle w:val="Normal6"/>
              <w:rPr>
                <w:b/>
                <w:i/>
                <w:lang w:val="en-GB"/>
              </w:rPr>
            </w:pPr>
            <w:r w:rsidRPr="00941D7C">
              <w:rPr>
                <w:b/>
                <w:i/>
                <w:vertAlign w:val="superscript"/>
                <w:lang w:val="en-GB"/>
              </w:rPr>
              <w:t>1a</w:t>
            </w:r>
            <w:r w:rsidR="007C6F83" w:rsidRPr="00941D7C">
              <w:rPr>
                <w:b/>
                <w:i/>
                <w:lang w:val="en-GB"/>
              </w:rPr>
              <w:tab/>
            </w:r>
            <w:r w:rsidR="007C6F83" w:rsidRPr="00941D7C">
              <w:rPr>
                <w:b/>
                <w:i/>
                <w:szCs w:val="24"/>
                <w:lang w:val="en-GB"/>
              </w:rPr>
              <w:t>Regulation (EU) 2024/1689 of the European Parliament and of the Council of 13 June 2024 laying down harmonised rules on artificial intelligence and amending Regulations (EC) No 300/2008, (EU) No 167/2013, (EU) No 168/2013, (EU) 2018/858, (EU) 2018/1139 and (EU) 2019/2144 and Directives 2014/90/EU, (EU) 2016/797 and (EU) 2020/1828 (Artificial Intelligence Act) (</w:t>
            </w:r>
            <w:r w:rsidR="007C6F83" w:rsidRPr="00941D7C">
              <w:rPr>
                <w:b/>
                <w:i/>
                <w:iCs/>
                <w:lang w:val="en-GB"/>
              </w:rPr>
              <w:t xml:space="preserve">OJ L, 2024/1689, 12.7.2024, ELI: </w:t>
            </w:r>
            <w:hyperlink r:id="rId9" w:tgtFrame="_blank" w:tooltip="Gives access to this document through its ELI URI." w:history="1">
              <w:r w:rsidR="007C6F83" w:rsidRPr="00941D7C">
                <w:rPr>
                  <w:b/>
                  <w:i/>
                  <w:iCs/>
                  <w:color w:val="0000FF"/>
                  <w:u w:val="single"/>
                  <w:lang w:val="en-GB"/>
                </w:rPr>
                <w:t>http://data.europa.eu/eli/reg/2024/1689/oj</w:t>
              </w:r>
            </w:hyperlink>
            <w:r w:rsidR="007C6F83" w:rsidRPr="00941D7C">
              <w:rPr>
                <w:b/>
                <w:i/>
                <w:szCs w:val="24"/>
                <w:lang w:val="en-GB"/>
              </w:rPr>
              <w:t>).</w:t>
            </w:r>
          </w:p>
        </w:tc>
      </w:tr>
    </w:tbl>
    <w:p w14:paraId="7AE31073"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73FB0156" w14:textId="77777777" w:rsidR="00EE4038" w:rsidRPr="00941D7C" w:rsidRDefault="00EE4038" w:rsidP="00EE4038">
      <w:r w:rsidRPr="00941D7C">
        <w:rPr>
          <w:rStyle w:val="HideTWBExt"/>
        </w:rPr>
        <w:t>&lt;/Amend&gt;</w:t>
      </w:r>
    </w:p>
    <w:p w14:paraId="7F6F404B" w14:textId="1C194138"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22</w:t>
      </w:r>
      <w:r w:rsidRPr="00941D7C">
        <w:rPr>
          <w:rStyle w:val="HideTWBExt"/>
          <w:lang w:val="en-GB"/>
        </w:rPr>
        <w:t>&lt;/NumAm&gt;</w:t>
      </w:r>
    </w:p>
    <w:p w14:paraId="6A02676B"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79465C8B"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1 – paragraph 1 – point 1</w:t>
      </w:r>
      <w:r w:rsidRPr="008C7353">
        <w:rPr>
          <w:rStyle w:val="HideTWBExt"/>
          <w:lang w:val="fr-FR"/>
        </w:rPr>
        <w:t>&lt;/Article&gt;</w:t>
      </w:r>
    </w:p>
    <w:p w14:paraId="1B59372F" w14:textId="77777777" w:rsidR="00EE4038" w:rsidRPr="008C7353" w:rsidRDefault="00EE4038" w:rsidP="00EE4038">
      <w:pPr>
        <w:keepNext/>
        <w:rPr>
          <w:lang w:val="fr-FR"/>
        </w:rPr>
      </w:pPr>
      <w:r w:rsidRPr="008C7353">
        <w:rPr>
          <w:rStyle w:val="HideTWBExt"/>
          <w:lang w:val="fr-FR"/>
        </w:rPr>
        <w:t>&lt;DocAmend2&gt;</w:t>
      </w:r>
      <w:r w:rsidRPr="008C7353">
        <w:rPr>
          <w:lang w:val="fr-FR"/>
        </w:rPr>
        <w:t>Directive 2006/43/EC</w:t>
      </w:r>
      <w:r w:rsidRPr="008C7353">
        <w:rPr>
          <w:rStyle w:val="HideTWBExt"/>
          <w:lang w:val="fr-FR"/>
        </w:rPr>
        <w:t>&lt;/DocAmend2&gt;</w:t>
      </w:r>
    </w:p>
    <w:p w14:paraId="48A6D520" w14:textId="77777777" w:rsidR="00EE4038" w:rsidRPr="00941D7C" w:rsidRDefault="00EE4038" w:rsidP="00EE4038">
      <w:r w:rsidRPr="00941D7C">
        <w:rPr>
          <w:rStyle w:val="HideTWBExt"/>
        </w:rPr>
        <w:t>&lt;Article2&gt;</w:t>
      </w:r>
      <w:r w:rsidRPr="00941D7C">
        <w:t>Article 26a – paragraph 3 – subparagraph 1</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2E248D59" w14:textId="77777777" w:rsidTr="00EE4038">
        <w:trPr>
          <w:jc w:val="center"/>
        </w:trPr>
        <w:tc>
          <w:tcPr>
            <w:tcW w:w="9752" w:type="dxa"/>
            <w:gridSpan w:val="2"/>
          </w:tcPr>
          <w:p w14:paraId="434AF84D" w14:textId="77777777" w:rsidR="00EE4038" w:rsidRPr="00941D7C" w:rsidRDefault="00EE4038">
            <w:pPr>
              <w:keepNext/>
            </w:pPr>
          </w:p>
        </w:tc>
      </w:tr>
      <w:tr w:rsidR="00EE4038" w:rsidRPr="00941D7C" w14:paraId="0DCF761D" w14:textId="77777777" w:rsidTr="00EE4038">
        <w:trPr>
          <w:jc w:val="center"/>
        </w:trPr>
        <w:tc>
          <w:tcPr>
            <w:tcW w:w="4876" w:type="dxa"/>
            <w:hideMark/>
          </w:tcPr>
          <w:p w14:paraId="4B4F4DF9"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3C6F1D9A" w14:textId="77777777" w:rsidR="00EE4038" w:rsidRPr="00941D7C" w:rsidRDefault="00EE4038">
            <w:pPr>
              <w:pStyle w:val="ColumnHeading"/>
              <w:keepNext/>
              <w:rPr>
                <w:lang w:val="en-GB"/>
              </w:rPr>
            </w:pPr>
            <w:r w:rsidRPr="00941D7C">
              <w:rPr>
                <w:lang w:val="en-GB"/>
              </w:rPr>
              <w:t>Amendment</w:t>
            </w:r>
          </w:p>
        </w:tc>
      </w:tr>
      <w:tr w:rsidR="00EE4038" w:rsidRPr="00941D7C" w14:paraId="6603C3B3" w14:textId="77777777" w:rsidTr="00EE4038">
        <w:trPr>
          <w:jc w:val="center"/>
        </w:trPr>
        <w:tc>
          <w:tcPr>
            <w:tcW w:w="4876" w:type="dxa"/>
            <w:hideMark/>
          </w:tcPr>
          <w:p w14:paraId="6AF2EFDA" w14:textId="77777777" w:rsidR="00EE4038" w:rsidRPr="00941D7C" w:rsidRDefault="00EE4038">
            <w:pPr>
              <w:pStyle w:val="Normal6"/>
              <w:rPr>
                <w:lang w:val="en-GB"/>
              </w:rPr>
            </w:pPr>
            <w:r w:rsidRPr="00941D7C">
              <w:rPr>
                <w:lang w:val="en-GB"/>
              </w:rPr>
              <w:t xml:space="preserve">The Commission shall </w:t>
            </w:r>
            <w:r w:rsidRPr="00941D7C">
              <w:rPr>
                <w:b/>
                <w:i/>
                <w:lang w:val="en-GB"/>
              </w:rPr>
              <w:t>be empowered to</w:t>
            </w:r>
            <w:r w:rsidRPr="00941D7C">
              <w:rPr>
                <w:lang w:val="en-GB"/>
              </w:rPr>
              <w:t xml:space="preserve"> adopt delegated acts in accordance with Article 48a in order to supplement this Directive in order to provide for limited assurance standards setting out the procedures that the auditor(s) and the audit firm(s) shall perform in order to draw his, her or its conclusions on the assurance of sustainability reporting, including engagement planning, risk consideration and response to risks and type of conclusions to be included in the assurance report on sustainability reporting, or, where relevant, in the audit report.</w:t>
            </w:r>
          </w:p>
        </w:tc>
        <w:tc>
          <w:tcPr>
            <w:tcW w:w="4876" w:type="dxa"/>
            <w:hideMark/>
          </w:tcPr>
          <w:p w14:paraId="04E87CAE" w14:textId="77777777" w:rsidR="00EE4038" w:rsidRPr="00941D7C" w:rsidRDefault="00EE4038">
            <w:pPr>
              <w:pStyle w:val="Normal6"/>
              <w:rPr>
                <w:szCs w:val="24"/>
                <w:lang w:val="en-GB"/>
              </w:rPr>
            </w:pPr>
            <w:r w:rsidRPr="00941D7C">
              <w:rPr>
                <w:lang w:val="en-GB"/>
              </w:rPr>
              <w:t>The Commission shall</w:t>
            </w:r>
            <w:r w:rsidRPr="00941D7C">
              <w:rPr>
                <w:b/>
                <w:i/>
                <w:lang w:val="en-GB"/>
              </w:rPr>
              <w:t>, no later than 1 October 2026,</w:t>
            </w:r>
            <w:r w:rsidRPr="00941D7C">
              <w:rPr>
                <w:lang w:val="en-GB"/>
              </w:rPr>
              <w:t xml:space="preserve"> adopt delegated acts in accordance with Article 48a in order to supplement this Directive in order to provide for limited assurance standards setting out the procedures that the auditor(s) and the audit firm(s) shall perform in order to draw his, her or its conclusions on the assurance of sustainability reporting, including engagement planning, risk consideration and response to risks and type of conclusions to be included in the assurance report on sustainability reporting, or, where relevant, in the audit report.</w:t>
            </w:r>
          </w:p>
        </w:tc>
      </w:tr>
    </w:tbl>
    <w:p w14:paraId="3977957A"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3BAE2EEE" w14:textId="77777777" w:rsidR="00EE4038" w:rsidRPr="00941D7C" w:rsidRDefault="00EE4038" w:rsidP="00EE4038">
      <w:r w:rsidRPr="00941D7C">
        <w:rPr>
          <w:rStyle w:val="HideTWBExt"/>
        </w:rPr>
        <w:t>&lt;/Amend&gt;</w:t>
      </w:r>
    </w:p>
    <w:p w14:paraId="244B307D" w14:textId="0FE7D318"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23</w:t>
      </w:r>
      <w:r w:rsidRPr="00941D7C">
        <w:rPr>
          <w:rStyle w:val="HideTWBExt"/>
          <w:lang w:val="en-GB"/>
        </w:rPr>
        <w:t>&lt;/NumAm&gt;</w:t>
      </w:r>
    </w:p>
    <w:p w14:paraId="738FDE95"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715AFCA7"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1 – paragraph 1 – point 1</w:t>
      </w:r>
      <w:r w:rsidRPr="008C7353">
        <w:rPr>
          <w:rStyle w:val="HideTWBExt"/>
          <w:lang w:val="fr-FR"/>
        </w:rPr>
        <w:t>&lt;/Article&gt;</w:t>
      </w:r>
    </w:p>
    <w:p w14:paraId="4A9B7CB1" w14:textId="77777777" w:rsidR="00EE4038" w:rsidRPr="008C7353" w:rsidRDefault="00EE4038" w:rsidP="00EE4038">
      <w:pPr>
        <w:keepNext/>
        <w:rPr>
          <w:lang w:val="fr-FR"/>
        </w:rPr>
      </w:pPr>
      <w:r w:rsidRPr="008C7353">
        <w:rPr>
          <w:rStyle w:val="HideTWBExt"/>
          <w:lang w:val="fr-FR"/>
        </w:rPr>
        <w:t>&lt;DocAmend2&gt;</w:t>
      </w:r>
      <w:r w:rsidRPr="008C7353">
        <w:rPr>
          <w:lang w:val="fr-FR"/>
        </w:rPr>
        <w:t>Directive 2006/43/EC</w:t>
      </w:r>
      <w:r w:rsidRPr="008C7353">
        <w:rPr>
          <w:rStyle w:val="HideTWBExt"/>
          <w:lang w:val="fr-FR"/>
        </w:rPr>
        <w:t>&lt;/DocAmend2&gt;</w:t>
      </w:r>
    </w:p>
    <w:p w14:paraId="4A0B6D0A" w14:textId="77777777" w:rsidR="00EE4038" w:rsidRPr="00941D7C" w:rsidRDefault="00EE4038" w:rsidP="00EE4038">
      <w:r w:rsidRPr="00941D7C">
        <w:rPr>
          <w:rStyle w:val="HideTWBExt"/>
        </w:rPr>
        <w:t>&lt;Article2&gt;</w:t>
      </w:r>
      <w:r w:rsidRPr="00941D7C">
        <w:t>Article 26a – paragraph 3 – subparagraph 2– introductory part</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75CBFFD3" w14:textId="77777777" w:rsidTr="00EE4038">
        <w:trPr>
          <w:jc w:val="center"/>
        </w:trPr>
        <w:tc>
          <w:tcPr>
            <w:tcW w:w="9752" w:type="dxa"/>
            <w:gridSpan w:val="2"/>
          </w:tcPr>
          <w:p w14:paraId="3362F133" w14:textId="77777777" w:rsidR="00EE4038" w:rsidRPr="00941D7C" w:rsidRDefault="00EE4038">
            <w:pPr>
              <w:keepNext/>
            </w:pPr>
          </w:p>
        </w:tc>
      </w:tr>
      <w:tr w:rsidR="00EE4038" w:rsidRPr="00941D7C" w14:paraId="569CA536" w14:textId="77777777" w:rsidTr="00EE4038">
        <w:trPr>
          <w:jc w:val="center"/>
        </w:trPr>
        <w:tc>
          <w:tcPr>
            <w:tcW w:w="4876" w:type="dxa"/>
            <w:hideMark/>
          </w:tcPr>
          <w:p w14:paraId="2E223ABD"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72342C83" w14:textId="77777777" w:rsidR="00EE4038" w:rsidRPr="00941D7C" w:rsidRDefault="00EE4038">
            <w:pPr>
              <w:pStyle w:val="ColumnHeading"/>
              <w:keepNext/>
              <w:rPr>
                <w:lang w:val="en-GB"/>
              </w:rPr>
            </w:pPr>
            <w:r w:rsidRPr="00941D7C">
              <w:rPr>
                <w:lang w:val="en-GB"/>
              </w:rPr>
              <w:t>Amendment</w:t>
            </w:r>
          </w:p>
        </w:tc>
      </w:tr>
      <w:tr w:rsidR="00EE4038" w:rsidRPr="00941D7C" w14:paraId="17E3C06C" w14:textId="77777777" w:rsidTr="00EE4038">
        <w:trPr>
          <w:jc w:val="center"/>
        </w:trPr>
        <w:tc>
          <w:tcPr>
            <w:tcW w:w="4876" w:type="dxa"/>
            <w:hideMark/>
          </w:tcPr>
          <w:p w14:paraId="527AD9C4" w14:textId="77777777" w:rsidR="00EE4038" w:rsidRPr="00941D7C" w:rsidRDefault="00EE4038">
            <w:pPr>
              <w:pStyle w:val="Normal6"/>
              <w:rPr>
                <w:lang w:val="en-GB"/>
              </w:rPr>
            </w:pPr>
            <w:r w:rsidRPr="00941D7C">
              <w:rPr>
                <w:lang w:val="en-GB"/>
              </w:rPr>
              <w:t xml:space="preserve">The Commission </w:t>
            </w:r>
            <w:r w:rsidRPr="00941D7C">
              <w:rPr>
                <w:b/>
                <w:i/>
                <w:lang w:val="en-GB"/>
              </w:rPr>
              <w:t>may</w:t>
            </w:r>
            <w:r w:rsidRPr="00941D7C">
              <w:rPr>
                <w:lang w:val="en-GB"/>
              </w:rPr>
              <w:t xml:space="preserve"> adopt the assurance standards referred to in the first subparagraph </w:t>
            </w:r>
            <w:r w:rsidRPr="00941D7C">
              <w:rPr>
                <w:b/>
                <w:i/>
                <w:lang w:val="en-GB"/>
              </w:rPr>
              <w:t>only where those</w:t>
            </w:r>
            <w:r w:rsidRPr="00941D7C">
              <w:rPr>
                <w:lang w:val="en-GB"/>
              </w:rPr>
              <w:t xml:space="preserve"> standards:</w:t>
            </w:r>
          </w:p>
        </w:tc>
        <w:tc>
          <w:tcPr>
            <w:tcW w:w="4876" w:type="dxa"/>
            <w:hideMark/>
          </w:tcPr>
          <w:p w14:paraId="4E01032D" w14:textId="53551782" w:rsidR="00EE4038" w:rsidRPr="00941D7C" w:rsidRDefault="00EE4038" w:rsidP="007C6F83">
            <w:pPr>
              <w:pStyle w:val="Normal6"/>
              <w:rPr>
                <w:szCs w:val="24"/>
                <w:lang w:val="en-GB"/>
              </w:rPr>
            </w:pPr>
            <w:r w:rsidRPr="00941D7C">
              <w:rPr>
                <w:lang w:val="en-GB"/>
              </w:rPr>
              <w:t xml:space="preserve">The Commission </w:t>
            </w:r>
            <w:r w:rsidRPr="00941D7C">
              <w:rPr>
                <w:b/>
                <w:i/>
                <w:lang w:val="en-GB"/>
              </w:rPr>
              <w:t>shall</w:t>
            </w:r>
            <w:r w:rsidRPr="00941D7C">
              <w:rPr>
                <w:lang w:val="en-GB"/>
              </w:rPr>
              <w:t xml:space="preserve"> adopt the assurance standards referred to in the first subparagraph </w:t>
            </w:r>
            <w:r w:rsidRPr="00941D7C">
              <w:rPr>
                <w:b/>
                <w:i/>
                <w:lang w:val="en-GB"/>
              </w:rPr>
              <w:t>while ensuring that the</w:t>
            </w:r>
            <w:r w:rsidRPr="00941D7C">
              <w:rPr>
                <w:lang w:val="en-GB"/>
              </w:rPr>
              <w:t xml:space="preserve"> standards:</w:t>
            </w:r>
          </w:p>
        </w:tc>
      </w:tr>
    </w:tbl>
    <w:p w14:paraId="1759B85E"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6802AC69" w14:textId="77777777" w:rsidR="00EE4038" w:rsidRPr="00941D7C" w:rsidRDefault="00EE4038" w:rsidP="00EE4038">
      <w:r w:rsidRPr="00941D7C">
        <w:rPr>
          <w:rStyle w:val="HideTWBExt"/>
        </w:rPr>
        <w:t>&lt;/Amend&gt;</w:t>
      </w:r>
    </w:p>
    <w:p w14:paraId="499D362C" w14:textId="4B99F9B6"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24</w:t>
      </w:r>
      <w:r w:rsidRPr="00941D7C">
        <w:rPr>
          <w:rStyle w:val="HideTWBExt"/>
          <w:lang w:val="en-GB"/>
        </w:rPr>
        <w:t>&lt;/NumAm&gt;</w:t>
      </w:r>
    </w:p>
    <w:p w14:paraId="2F3423C1"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7E4C80EC"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2 – paragraph 1 – point 1 – point a</w:t>
      </w:r>
      <w:r w:rsidRPr="008C7353">
        <w:rPr>
          <w:rStyle w:val="HideTWBExt"/>
          <w:lang w:val="fr-FR"/>
        </w:rPr>
        <w:t>&lt;/Article&gt;</w:t>
      </w:r>
    </w:p>
    <w:p w14:paraId="57FAC775" w14:textId="77777777" w:rsidR="00EE4038" w:rsidRPr="008C7353" w:rsidRDefault="00EE4038" w:rsidP="00EE4038">
      <w:pPr>
        <w:keepNext/>
        <w:rPr>
          <w:lang w:val="fr-FR"/>
        </w:rPr>
      </w:pPr>
      <w:r w:rsidRPr="008C7353">
        <w:rPr>
          <w:rStyle w:val="HideTWBExt"/>
          <w:lang w:val="fr-FR"/>
        </w:rPr>
        <w:t>&lt;DocAmend2&gt;</w:t>
      </w:r>
      <w:r w:rsidRPr="008C7353">
        <w:rPr>
          <w:lang w:val="fr-FR"/>
        </w:rPr>
        <w:t>Directive 2013/34/EU</w:t>
      </w:r>
      <w:r w:rsidRPr="008C7353">
        <w:rPr>
          <w:rStyle w:val="HideTWBExt"/>
          <w:lang w:val="fr-FR"/>
        </w:rPr>
        <w:t>&lt;/DocAmend2&gt;</w:t>
      </w:r>
    </w:p>
    <w:p w14:paraId="4AC2B8BB" w14:textId="77777777" w:rsidR="00EE4038" w:rsidRPr="008C7353" w:rsidRDefault="00EE4038" w:rsidP="00EE4038">
      <w:pPr>
        <w:rPr>
          <w:lang w:val="fr-FR"/>
        </w:rPr>
      </w:pPr>
      <w:r w:rsidRPr="008C7353">
        <w:rPr>
          <w:rStyle w:val="HideTWBExt"/>
          <w:lang w:val="fr-FR"/>
        </w:rPr>
        <w:t>&lt;Article2&gt;</w:t>
      </w:r>
      <w:r w:rsidRPr="008C7353">
        <w:rPr>
          <w:lang w:val="fr-FR"/>
        </w:rPr>
        <w:t>Article 1 – paragraph 3 – introductory part</w:t>
      </w:r>
      <w:r w:rsidRPr="008C7353">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8C7353" w14:paraId="491F7E59" w14:textId="77777777" w:rsidTr="00EE4038">
        <w:trPr>
          <w:jc w:val="center"/>
        </w:trPr>
        <w:tc>
          <w:tcPr>
            <w:tcW w:w="9752" w:type="dxa"/>
            <w:gridSpan w:val="2"/>
          </w:tcPr>
          <w:p w14:paraId="2B35C6FC" w14:textId="77777777" w:rsidR="00EE4038" w:rsidRPr="008C7353" w:rsidRDefault="00EE4038">
            <w:pPr>
              <w:keepNext/>
              <w:rPr>
                <w:lang w:val="fr-FR"/>
              </w:rPr>
            </w:pPr>
          </w:p>
        </w:tc>
      </w:tr>
      <w:tr w:rsidR="00EE4038" w:rsidRPr="00941D7C" w14:paraId="316AC941" w14:textId="77777777" w:rsidTr="00EE4038">
        <w:trPr>
          <w:jc w:val="center"/>
        </w:trPr>
        <w:tc>
          <w:tcPr>
            <w:tcW w:w="4876" w:type="dxa"/>
            <w:hideMark/>
          </w:tcPr>
          <w:p w14:paraId="583EFD23"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03821BA2" w14:textId="77777777" w:rsidR="00EE4038" w:rsidRPr="00941D7C" w:rsidRDefault="00EE4038">
            <w:pPr>
              <w:pStyle w:val="ColumnHeading"/>
              <w:keepNext/>
              <w:rPr>
                <w:lang w:val="en-GB"/>
              </w:rPr>
            </w:pPr>
            <w:r w:rsidRPr="00941D7C">
              <w:rPr>
                <w:lang w:val="en-GB"/>
              </w:rPr>
              <w:t>Amendment</w:t>
            </w:r>
          </w:p>
        </w:tc>
      </w:tr>
      <w:tr w:rsidR="00EE4038" w:rsidRPr="00941D7C" w14:paraId="177C7A0A" w14:textId="77777777" w:rsidTr="00EE4038">
        <w:trPr>
          <w:jc w:val="center"/>
        </w:trPr>
        <w:tc>
          <w:tcPr>
            <w:tcW w:w="4876" w:type="dxa"/>
            <w:hideMark/>
          </w:tcPr>
          <w:p w14:paraId="68B78D51" w14:textId="77777777" w:rsidR="00EE4038" w:rsidRPr="00941D7C" w:rsidRDefault="00EE4038">
            <w:pPr>
              <w:pStyle w:val="Normal6"/>
              <w:rPr>
                <w:lang w:val="en-GB"/>
              </w:rPr>
            </w:pPr>
            <w:r w:rsidRPr="00941D7C">
              <w:rPr>
                <w:lang w:val="en-GB"/>
              </w:rPr>
              <w:t xml:space="preserve">‘The coordination measures prescribed by Articles 19a, 19b, 29a, 29aa, 29d, 30 and 33, Article 34(1), second subparagraph, point (aa), Article 34(2) and (3), and Article 51 of this Directive shall also apply to the laws, regulations and administrative provisions of the Member States relating to the following undertakings regardless of their legal form, provided that those undertakings </w:t>
            </w:r>
            <w:r w:rsidRPr="00941D7C">
              <w:rPr>
                <w:b/>
                <w:i/>
                <w:lang w:val="en-GB"/>
              </w:rPr>
              <w:t>are large undertakings which</w:t>
            </w:r>
            <w:r w:rsidRPr="00941D7C">
              <w:rPr>
                <w:lang w:val="en-GB"/>
              </w:rPr>
              <w:t xml:space="preserve">, on their balance sheet dates, </w:t>
            </w:r>
            <w:r w:rsidRPr="00941D7C">
              <w:rPr>
                <w:b/>
                <w:i/>
                <w:lang w:val="en-GB"/>
              </w:rPr>
              <w:t>exceed</w:t>
            </w:r>
            <w:r w:rsidRPr="00941D7C">
              <w:rPr>
                <w:lang w:val="en-GB"/>
              </w:rPr>
              <w:t xml:space="preserve"> the average number of </w:t>
            </w:r>
            <w:r w:rsidRPr="00941D7C">
              <w:rPr>
                <w:b/>
                <w:i/>
                <w:lang w:val="en-GB"/>
              </w:rPr>
              <w:t>1000</w:t>
            </w:r>
            <w:r w:rsidRPr="00941D7C">
              <w:rPr>
                <w:lang w:val="en-GB"/>
              </w:rPr>
              <w:t xml:space="preserve"> employees during the financial year:’;</w:t>
            </w:r>
          </w:p>
        </w:tc>
        <w:tc>
          <w:tcPr>
            <w:tcW w:w="4876" w:type="dxa"/>
            <w:hideMark/>
          </w:tcPr>
          <w:p w14:paraId="64B539EF" w14:textId="77777777" w:rsidR="00EE4038" w:rsidRPr="00941D7C" w:rsidRDefault="00EE4038">
            <w:pPr>
              <w:pStyle w:val="Normal6"/>
              <w:rPr>
                <w:szCs w:val="24"/>
                <w:lang w:val="en-GB"/>
              </w:rPr>
            </w:pPr>
            <w:r w:rsidRPr="00941D7C">
              <w:rPr>
                <w:lang w:val="en-GB"/>
              </w:rPr>
              <w:t xml:space="preserve">‘The coordination measures prescribed by Articles 19a, 19b, 29a, 29aa, 29d, 30 and 33, Article 34(1), second subparagraph, point (aa), Article 34(2) and (3), and Article 51 of this Directive shall also apply to the laws, regulations and administrative provisions of the Member States relating to the following undertakings regardless of their legal form, provided that those undertakings </w:t>
            </w:r>
            <w:r w:rsidRPr="00941D7C">
              <w:rPr>
                <w:b/>
                <w:i/>
                <w:lang w:val="en-GB"/>
              </w:rPr>
              <w:t>exceed</w:t>
            </w:r>
            <w:r w:rsidRPr="00941D7C">
              <w:rPr>
                <w:lang w:val="en-GB"/>
              </w:rPr>
              <w:t xml:space="preserve">, on their balance sheet dates, the average number of </w:t>
            </w:r>
            <w:r w:rsidRPr="00941D7C">
              <w:rPr>
                <w:b/>
                <w:i/>
                <w:lang w:val="en-GB"/>
              </w:rPr>
              <w:t>3000</w:t>
            </w:r>
            <w:r w:rsidRPr="00941D7C">
              <w:rPr>
                <w:lang w:val="en-GB"/>
              </w:rPr>
              <w:t xml:space="preserve"> employees </w:t>
            </w:r>
            <w:r w:rsidRPr="00941D7C">
              <w:rPr>
                <w:b/>
                <w:i/>
                <w:lang w:val="en-GB"/>
              </w:rPr>
              <w:t>and a net turnover of EUR 450 000 000</w:t>
            </w:r>
            <w:r w:rsidRPr="00941D7C">
              <w:rPr>
                <w:lang w:val="en-GB"/>
              </w:rPr>
              <w:t xml:space="preserve"> during the financial year:’;</w:t>
            </w:r>
          </w:p>
        </w:tc>
      </w:tr>
    </w:tbl>
    <w:p w14:paraId="1D62A0E9"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6BC3C4DD" w14:textId="77777777" w:rsidR="00EE4038" w:rsidRPr="00941D7C" w:rsidRDefault="00EE4038" w:rsidP="00EE4038">
      <w:r w:rsidRPr="00941D7C">
        <w:rPr>
          <w:rStyle w:val="HideTWBExt"/>
        </w:rPr>
        <w:t>&lt;/Amend&gt;</w:t>
      </w:r>
    </w:p>
    <w:p w14:paraId="5064314B" w14:textId="6D0DAB95"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25</w:t>
      </w:r>
      <w:r w:rsidRPr="00941D7C">
        <w:rPr>
          <w:rStyle w:val="HideTWBExt"/>
          <w:lang w:val="en-GB"/>
        </w:rPr>
        <w:t>&lt;/NumAm&gt;</w:t>
      </w:r>
    </w:p>
    <w:p w14:paraId="2EC3F060"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2DE95C75"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2 – paragraph 1 – point 1 a (new)</w:t>
      </w:r>
      <w:r w:rsidRPr="008C7353">
        <w:rPr>
          <w:rStyle w:val="HideTWBExt"/>
          <w:lang w:val="fr-FR"/>
        </w:rPr>
        <w:t>&lt;/Article&gt;</w:t>
      </w:r>
    </w:p>
    <w:p w14:paraId="6C8CB637" w14:textId="77777777" w:rsidR="00EE4038" w:rsidRPr="008C7353" w:rsidRDefault="00EE4038" w:rsidP="00EE4038">
      <w:pPr>
        <w:keepNext/>
        <w:rPr>
          <w:lang w:val="fr-FR"/>
        </w:rPr>
      </w:pPr>
      <w:r w:rsidRPr="008C7353">
        <w:rPr>
          <w:rStyle w:val="HideTWBExt"/>
          <w:lang w:val="fr-FR"/>
        </w:rPr>
        <w:t>&lt;DocAmend2&gt;</w:t>
      </w:r>
      <w:r w:rsidRPr="008C7353">
        <w:rPr>
          <w:lang w:val="fr-FR"/>
        </w:rPr>
        <w:t>Directive 2013/34/EU</w:t>
      </w:r>
      <w:r w:rsidRPr="008C7353">
        <w:rPr>
          <w:rStyle w:val="HideTWBExt"/>
          <w:lang w:val="fr-FR"/>
        </w:rPr>
        <w:t>&lt;/DocAmend2&gt;</w:t>
      </w:r>
    </w:p>
    <w:p w14:paraId="6D374148" w14:textId="77777777" w:rsidR="00EE4038" w:rsidRPr="008C7353" w:rsidRDefault="00EE4038" w:rsidP="00EE4038">
      <w:pPr>
        <w:rPr>
          <w:lang w:val="fr-FR"/>
        </w:rPr>
      </w:pPr>
      <w:r w:rsidRPr="008C7353">
        <w:rPr>
          <w:rStyle w:val="HideTWBExt"/>
          <w:lang w:val="fr-FR"/>
        </w:rPr>
        <w:t>&lt;Article2&gt;</w:t>
      </w:r>
      <w:r w:rsidRPr="008C7353">
        <w:rPr>
          <w:lang w:val="fr-FR"/>
        </w:rPr>
        <w:t>Article 19 – paragraph 1 – subparagraph 4</w:t>
      </w:r>
      <w:r w:rsidRPr="008C7353">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8C7353" w14:paraId="02AD221B" w14:textId="77777777" w:rsidTr="00EE4038">
        <w:trPr>
          <w:jc w:val="center"/>
        </w:trPr>
        <w:tc>
          <w:tcPr>
            <w:tcW w:w="9752" w:type="dxa"/>
            <w:gridSpan w:val="2"/>
          </w:tcPr>
          <w:p w14:paraId="7BD0572C" w14:textId="77777777" w:rsidR="00EE4038" w:rsidRPr="008C7353" w:rsidRDefault="00EE4038">
            <w:pPr>
              <w:keepNext/>
              <w:rPr>
                <w:lang w:val="fr-FR"/>
              </w:rPr>
            </w:pPr>
          </w:p>
        </w:tc>
      </w:tr>
      <w:tr w:rsidR="00EE4038" w:rsidRPr="00941D7C" w14:paraId="226BCE34" w14:textId="77777777" w:rsidTr="00EE4038">
        <w:trPr>
          <w:jc w:val="center"/>
        </w:trPr>
        <w:tc>
          <w:tcPr>
            <w:tcW w:w="4876" w:type="dxa"/>
            <w:hideMark/>
          </w:tcPr>
          <w:p w14:paraId="470227AC" w14:textId="77777777" w:rsidR="00EE4038" w:rsidRPr="00941D7C" w:rsidRDefault="00EE4038">
            <w:pPr>
              <w:pStyle w:val="ColumnHeading"/>
              <w:keepNext/>
              <w:rPr>
                <w:lang w:val="en-GB"/>
              </w:rPr>
            </w:pPr>
            <w:r w:rsidRPr="00941D7C">
              <w:rPr>
                <w:lang w:val="en-GB"/>
              </w:rPr>
              <w:t>Present text</w:t>
            </w:r>
          </w:p>
        </w:tc>
        <w:tc>
          <w:tcPr>
            <w:tcW w:w="4876" w:type="dxa"/>
            <w:hideMark/>
          </w:tcPr>
          <w:p w14:paraId="38B8BE5D" w14:textId="77777777" w:rsidR="00EE4038" w:rsidRPr="00941D7C" w:rsidRDefault="00EE4038">
            <w:pPr>
              <w:pStyle w:val="ColumnHeading"/>
              <w:keepNext/>
              <w:rPr>
                <w:lang w:val="en-GB"/>
              </w:rPr>
            </w:pPr>
            <w:r w:rsidRPr="00941D7C">
              <w:rPr>
                <w:lang w:val="en-GB"/>
              </w:rPr>
              <w:t>Amendment</w:t>
            </w:r>
          </w:p>
        </w:tc>
      </w:tr>
      <w:tr w:rsidR="00EE4038" w:rsidRPr="00941D7C" w14:paraId="1EB355E0" w14:textId="77777777" w:rsidTr="00EE4038">
        <w:trPr>
          <w:jc w:val="center"/>
        </w:trPr>
        <w:tc>
          <w:tcPr>
            <w:tcW w:w="4876" w:type="dxa"/>
          </w:tcPr>
          <w:p w14:paraId="1CD26142" w14:textId="77777777" w:rsidR="00EE4038" w:rsidRPr="00941D7C" w:rsidRDefault="00EE4038">
            <w:pPr>
              <w:pStyle w:val="Normal6"/>
              <w:rPr>
                <w:lang w:val="en-GB"/>
              </w:rPr>
            </w:pPr>
          </w:p>
        </w:tc>
        <w:tc>
          <w:tcPr>
            <w:tcW w:w="4876" w:type="dxa"/>
            <w:hideMark/>
          </w:tcPr>
          <w:p w14:paraId="4DE9D593" w14:textId="407C659F" w:rsidR="00EE4038" w:rsidRPr="00941D7C" w:rsidRDefault="00EE4038" w:rsidP="00F00807">
            <w:pPr>
              <w:pStyle w:val="Normal6"/>
              <w:rPr>
                <w:szCs w:val="24"/>
                <w:lang w:val="en-GB"/>
              </w:rPr>
            </w:pPr>
            <w:r w:rsidRPr="00941D7C">
              <w:rPr>
                <w:b/>
                <w:i/>
                <w:lang w:val="en-GB"/>
              </w:rPr>
              <w:t>(1a)</w:t>
            </w:r>
            <w:r w:rsidR="00F00807" w:rsidRPr="00941D7C">
              <w:rPr>
                <w:b/>
                <w:i/>
                <w:lang w:val="en-GB"/>
              </w:rPr>
              <w:tab/>
            </w:r>
            <w:r w:rsidRPr="00941D7C">
              <w:rPr>
                <w:b/>
                <w:i/>
                <w:lang w:val="en-GB"/>
              </w:rPr>
              <w:t xml:space="preserve">in Article 19(1), </w:t>
            </w:r>
            <w:r w:rsidR="007C6F83" w:rsidRPr="00941D7C">
              <w:rPr>
                <w:b/>
                <w:i/>
                <w:lang w:val="en-GB"/>
              </w:rPr>
              <w:t xml:space="preserve">the </w:t>
            </w:r>
            <w:r w:rsidRPr="00941D7C">
              <w:rPr>
                <w:b/>
                <w:i/>
                <w:lang w:val="en-GB"/>
              </w:rPr>
              <w:t>fourth subparagraph is replaced by the following:</w:t>
            </w:r>
          </w:p>
        </w:tc>
      </w:tr>
      <w:tr w:rsidR="00EE4038" w:rsidRPr="00941D7C" w14:paraId="5CA20BEF" w14:textId="77777777" w:rsidTr="00EE4038">
        <w:trPr>
          <w:jc w:val="center"/>
        </w:trPr>
        <w:tc>
          <w:tcPr>
            <w:tcW w:w="4876" w:type="dxa"/>
            <w:hideMark/>
          </w:tcPr>
          <w:p w14:paraId="60F2344F" w14:textId="77777777" w:rsidR="00EE4038" w:rsidRPr="00941D7C" w:rsidRDefault="00EE4038">
            <w:pPr>
              <w:pStyle w:val="Normal6"/>
              <w:rPr>
                <w:lang w:val="en-GB"/>
              </w:rPr>
            </w:pPr>
            <w:r w:rsidRPr="00941D7C">
              <w:rPr>
                <w:b/>
                <w:i/>
                <w:lang w:val="en-GB"/>
              </w:rPr>
              <w:t>Large</w:t>
            </w:r>
            <w:r w:rsidRPr="00941D7C">
              <w:rPr>
                <w:lang w:val="en-GB"/>
              </w:rPr>
              <w:t xml:space="preserve"> undertakings</w:t>
            </w:r>
            <w:r w:rsidRPr="00941D7C">
              <w:rPr>
                <w:b/>
                <w:i/>
                <w:lang w:val="en-GB"/>
              </w:rPr>
              <w:t>, and small and medium-sized undertakings, except micro undertakings, which are public-interest entities as defined in point (a) of point (1) of Article 2</w:t>
            </w:r>
            <w:r w:rsidRPr="00941D7C">
              <w:rPr>
                <w:lang w:val="en-GB"/>
              </w:rPr>
              <w:t xml:space="preserve"> shall report information on the key intangible resources and explain how the business model of the undertaking fundamentally depends on such resources and how such resources are a source of value creation for the undertaking.</w:t>
            </w:r>
          </w:p>
        </w:tc>
        <w:tc>
          <w:tcPr>
            <w:tcW w:w="4876" w:type="dxa"/>
            <w:hideMark/>
          </w:tcPr>
          <w:p w14:paraId="46CDB4E8" w14:textId="77777777" w:rsidR="00EE4038" w:rsidRPr="00941D7C" w:rsidRDefault="00EE4038">
            <w:pPr>
              <w:pStyle w:val="Normal6"/>
              <w:rPr>
                <w:szCs w:val="24"/>
                <w:lang w:val="en-GB"/>
              </w:rPr>
            </w:pPr>
            <w:r w:rsidRPr="00941D7C">
              <w:rPr>
                <w:b/>
                <w:i/>
                <w:lang w:val="en-GB"/>
              </w:rPr>
              <w:t>‘</w:t>
            </w:r>
            <w:r w:rsidRPr="00941D7C">
              <w:rPr>
                <w:lang w:val="en-GB"/>
              </w:rPr>
              <w:t>Undertakings</w:t>
            </w:r>
            <w:r w:rsidRPr="00941D7C">
              <w:rPr>
                <w:b/>
                <w:i/>
                <w:lang w:val="en-GB"/>
              </w:rPr>
              <w:t xml:space="preserve"> which, on their balance sheet dates, exceed the average number of 3000 employees and a net turnover of EUR 450 000 000 during the financial year, </w:t>
            </w:r>
            <w:r w:rsidRPr="00941D7C">
              <w:rPr>
                <w:lang w:val="en-GB"/>
              </w:rPr>
              <w:t>shall report information on the key intangible resources and explain how the business model of the undertaking fundamentally depends on such resources and how such resources are a source of value creation for the undertaking.</w:t>
            </w:r>
            <w:r w:rsidRPr="00941D7C">
              <w:rPr>
                <w:b/>
                <w:i/>
                <w:lang w:val="en-GB"/>
              </w:rPr>
              <w:t>’;</w:t>
            </w:r>
          </w:p>
        </w:tc>
      </w:tr>
    </w:tbl>
    <w:p w14:paraId="4FB0BFFE"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4AC249E4" w14:textId="77777777" w:rsidR="00EE4038" w:rsidRPr="00941D7C" w:rsidRDefault="00EE4038" w:rsidP="00EE4038">
      <w:r w:rsidRPr="00941D7C">
        <w:rPr>
          <w:rStyle w:val="HideTWBExt"/>
        </w:rPr>
        <w:t>&lt;/Amend&gt;</w:t>
      </w:r>
    </w:p>
    <w:p w14:paraId="1A9988C5" w14:textId="7F534D37"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26</w:t>
      </w:r>
      <w:r w:rsidRPr="00941D7C">
        <w:rPr>
          <w:rStyle w:val="HideTWBExt"/>
          <w:lang w:val="en-GB"/>
        </w:rPr>
        <w:t>&lt;/NumAm&gt;</w:t>
      </w:r>
    </w:p>
    <w:p w14:paraId="0F20B859"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754CEC72"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2 – paragraph 1 – point 2 – point a</w:t>
      </w:r>
      <w:r w:rsidRPr="008C7353">
        <w:rPr>
          <w:rStyle w:val="HideTWBExt"/>
          <w:lang w:val="fr-FR"/>
        </w:rPr>
        <w:t>&lt;/Article&gt;</w:t>
      </w:r>
    </w:p>
    <w:p w14:paraId="2317C182" w14:textId="77777777" w:rsidR="00EE4038" w:rsidRPr="00941D7C" w:rsidRDefault="00EE4038" w:rsidP="00EE4038">
      <w:pPr>
        <w:keepNext/>
      </w:pPr>
      <w:r w:rsidRPr="00941D7C">
        <w:rPr>
          <w:rStyle w:val="HideTWBExt"/>
        </w:rPr>
        <w:t>&lt;DocAmend2&gt;</w:t>
      </w:r>
      <w:r w:rsidRPr="00941D7C">
        <w:t>Directive 2013/34/EU</w:t>
      </w:r>
      <w:r w:rsidRPr="00941D7C">
        <w:rPr>
          <w:rStyle w:val="HideTWBExt"/>
        </w:rPr>
        <w:t>&lt;/DocAmend2&gt;</w:t>
      </w:r>
    </w:p>
    <w:p w14:paraId="616767E0" w14:textId="77777777" w:rsidR="00EE4038" w:rsidRPr="00941D7C" w:rsidRDefault="00EE4038" w:rsidP="00EE4038">
      <w:r w:rsidRPr="00941D7C">
        <w:rPr>
          <w:rStyle w:val="HideTWBExt"/>
        </w:rPr>
        <w:t>&lt;Article2&gt;</w:t>
      </w:r>
      <w:r w:rsidRPr="00941D7C">
        <w:t>Article 19a – paragraph 1 – subparagraph1</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098A6818" w14:textId="77777777" w:rsidTr="00EE4038">
        <w:trPr>
          <w:jc w:val="center"/>
        </w:trPr>
        <w:tc>
          <w:tcPr>
            <w:tcW w:w="9752" w:type="dxa"/>
            <w:gridSpan w:val="2"/>
          </w:tcPr>
          <w:p w14:paraId="5708D96F" w14:textId="77777777" w:rsidR="00EE4038" w:rsidRPr="00941D7C" w:rsidRDefault="00EE4038">
            <w:pPr>
              <w:keepNext/>
            </w:pPr>
          </w:p>
        </w:tc>
      </w:tr>
      <w:tr w:rsidR="00EE4038" w:rsidRPr="00941D7C" w14:paraId="641F7F77" w14:textId="77777777" w:rsidTr="00EE4038">
        <w:trPr>
          <w:jc w:val="center"/>
        </w:trPr>
        <w:tc>
          <w:tcPr>
            <w:tcW w:w="4876" w:type="dxa"/>
            <w:hideMark/>
          </w:tcPr>
          <w:p w14:paraId="1DC8225C"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21DADB65" w14:textId="77777777" w:rsidR="00EE4038" w:rsidRPr="00941D7C" w:rsidRDefault="00EE4038">
            <w:pPr>
              <w:pStyle w:val="ColumnHeading"/>
              <w:keepNext/>
              <w:rPr>
                <w:lang w:val="en-GB"/>
              </w:rPr>
            </w:pPr>
            <w:r w:rsidRPr="00941D7C">
              <w:rPr>
                <w:lang w:val="en-GB"/>
              </w:rPr>
              <w:t>Amendment</w:t>
            </w:r>
          </w:p>
        </w:tc>
      </w:tr>
      <w:tr w:rsidR="00EE4038" w:rsidRPr="00941D7C" w14:paraId="3DE6C49D" w14:textId="77777777" w:rsidTr="00EE4038">
        <w:trPr>
          <w:jc w:val="center"/>
        </w:trPr>
        <w:tc>
          <w:tcPr>
            <w:tcW w:w="4876" w:type="dxa"/>
            <w:hideMark/>
          </w:tcPr>
          <w:p w14:paraId="2769E6E7" w14:textId="77777777" w:rsidR="00EE4038" w:rsidRPr="00941D7C" w:rsidRDefault="00EE4038">
            <w:pPr>
              <w:pStyle w:val="Normal6"/>
              <w:rPr>
                <w:lang w:val="en-GB"/>
              </w:rPr>
            </w:pPr>
            <w:r w:rsidRPr="00941D7C">
              <w:rPr>
                <w:lang w:val="en-GB"/>
              </w:rPr>
              <w:t>‘</w:t>
            </w:r>
            <w:r w:rsidRPr="00941D7C">
              <w:rPr>
                <w:b/>
                <w:i/>
                <w:lang w:val="en-GB"/>
              </w:rPr>
              <w:t>Large</w:t>
            </w:r>
            <w:r w:rsidRPr="00941D7C">
              <w:rPr>
                <w:lang w:val="en-GB"/>
              </w:rPr>
              <w:t xml:space="preserve"> undertakings which, on their balance sheet dates, exceed the average number of </w:t>
            </w:r>
            <w:r w:rsidRPr="00941D7C">
              <w:rPr>
                <w:b/>
                <w:i/>
                <w:lang w:val="en-GB"/>
              </w:rPr>
              <w:t>1000</w:t>
            </w:r>
            <w:r w:rsidRPr="00941D7C">
              <w:rPr>
                <w:lang w:val="en-GB"/>
              </w:rPr>
              <w:t xml:space="preserve"> employees during the financial year shall include in their management report information necessary to understand the undertaking’s impacts on sustainability matters, and information necessary to understand how sustainability matters affect the undertaking’s development, performance and position.’;</w:t>
            </w:r>
          </w:p>
        </w:tc>
        <w:tc>
          <w:tcPr>
            <w:tcW w:w="4876" w:type="dxa"/>
            <w:hideMark/>
          </w:tcPr>
          <w:p w14:paraId="24CBEA43" w14:textId="77777777" w:rsidR="00EE4038" w:rsidRPr="00941D7C" w:rsidRDefault="00EE4038">
            <w:pPr>
              <w:pStyle w:val="Normal6"/>
              <w:rPr>
                <w:szCs w:val="24"/>
                <w:lang w:val="en-GB"/>
              </w:rPr>
            </w:pPr>
            <w:r w:rsidRPr="00941D7C">
              <w:rPr>
                <w:lang w:val="en-GB"/>
              </w:rPr>
              <w:t xml:space="preserve">‘Undertakings which, on their balance sheet dates, exceed the average number of </w:t>
            </w:r>
            <w:r w:rsidRPr="00941D7C">
              <w:rPr>
                <w:b/>
                <w:i/>
                <w:lang w:val="en-GB"/>
              </w:rPr>
              <w:t>3000</w:t>
            </w:r>
            <w:r w:rsidRPr="00941D7C">
              <w:rPr>
                <w:lang w:val="en-GB"/>
              </w:rPr>
              <w:t xml:space="preserve"> employees </w:t>
            </w:r>
            <w:r w:rsidRPr="00941D7C">
              <w:rPr>
                <w:b/>
                <w:i/>
                <w:lang w:val="en-GB"/>
              </w:rPr>
              <w:t>and a net turnover of EUR 450 000 000</w:t>
            </w:r>
            <w:r w:rsidRPr="00941D7C">
              <w:rPr>
                <w:lang w:val="en-GB"/>
              </w:rPr>
              <w:t xml:space="preserve"> during the financial year shall include in their management report information necessary to understand the undertaking’s impacts on sustainability matters, and information necessary to understand how sustainability matters affect the undertaking’s development, performance and position.’;</w:t>
            </w:r>
          </w:p>
        </w:tc>
      </w:tr>
    </w:tbl>
    <w:p w14:paraId="59117E52"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0F27EDFA" w14:textId="77777777" w:rsidR="00EE4038" w:rsidRPr="00941D7C" w:rsidRDefault="00EE4038" w:rsidP="00EE4038">
      <w:r w:rsidRPr="00941D7C">
        <w:rPr>
          <w:rStyle w:val="HideTWBExt"/>
        </w:rPr>
        <w:t>&lt;/Amend&gt;</w:t>
      </w:r>
    </w:p>
    <w:p w14:paraId="09E14FAA" w14:textId="39C6299F"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27</w:t>
      </w:r>
      <w:r w:rsidRPr="00941D7C">
        <w:rPr>
          <w:rStyle w:val="HideTWBExt"/>
          <w:lang w:val="en-GB"/>
        </w:rPr>
        <w:t>&lt;/NumAm&gt;</w:t>
      </w:r>
    </w:p>
    <w:p w14:paraId="23B9D6F2"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2B77BF82"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 xml:space="preserve">Article 2 – paragraph 1 – point 2 – point a </w:t>
      </w:r>
      <w:proofErr w:type="gramStart"/>
      <w:r w:rsidRPr="008C7353">
        <w:rPr>
          <w:lang w:val="fr-FR"/>
        </w:rPr>
        <w:t>a</w:t>
      </w:r>
      <w:proofErr w:type="gramEnd"/>
      <w:r w:rsidRPr="008C7353">
        <w:rPr>
          <w:lang w:val="fr-FR"/>
        </w:rPr>
        <w:t xml:space="preserve"> (new)</w:t>
      </w:r>
      <w:r w:rsidRPr="008C7353">
        <w:rPr>
          <w:rStyle w:val="HideTWBExt"/>
          <w:lang w:val="fr-FR"/>
        </w:rPr>
        <w:t>&lt;/Article&gt;</w:t>
      </w:r>
    </w:p>
    <w:p w14:paraId="2BFA9D8B" w14:textId="77777777" w:rsidR="00EE4038" w:rsidRPr="008C7353" w:rsidRDefault="00EE4038" w:rsidP="00EE4038">
      <w:pPr>
        <w:keepNext/>
        <w:rPr>
          <w:lang w:val="fr-FR"/>
        </w:rPr>
      </w:pPr>
      <w:r w:rsidRPr="008C7353">
        <w:rPr>
          <w:rStyle w:val="HideTWBExt"/>
          <w:lang w:val="fr-FR"/>
        </w:rPr>
        <w:t>&lt;DocAmend2&gt;</w:t>
      </w:r>
      <w:r w:rsidRPr="008C7353">
        <w:rPr>
          <w:lang w:val="fr-FR"/>
        </w:rPr>
        <w:t>Directive 2013/34/EU</w:t>
      </w:r>
      <w:r w:rsidRPr="008C7353">
        <w:rPr>
          <w:rStyle w:val="HideTWBExt"/>
          <w:lang w:val="fr-FR"/>
        </w:rPr>
        <w:t>&lt;/DocAmend2&gt;</w:t>
      </w:r>
    </w:p>
    <w:p w14:paraId="487AA3A1" w14:textId="77777777" w:rsidR="00EE4038" w:rsidRPr="00941D7C" w:rsidRDefault="00EE4038" w:rsidP="00EE4038">
      <w:r w:rsidRPr="00941D7C">
        <w:rPr>
          <w:rStyle w:val="HideTWBExt"/>
        </w:rPr>
        <w:t>&lt;Article2&gt;</w:t>
      </w:r>
      <w:r w:rsidRPr="00941D7C">
        <w:t>Article 19a – paragraph 1 – subparagraph 2</w:t>
      </w:r>
      <w:r w:rsidR="00F00807" w:rsidRPr="00941D7C">
        <w:t xml:space="preserve"> </w:t>
      </w:r>
      <w:r w:rsidRPr="00941D7C">
        <w:t>a (new)</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045C3428" w14:textId="77777777" w:rsidTr="00EE4038">
        <w:trPr>
          <w:jc w:val="center"/>
        </w:trPr>
        <w:tc>
          <w:tcPr>
            <w:tcW w:w="9752" w:type="dxa"/>
            <w:gridSpan w:val="2"/>
          </w:tcPr>
          <w:p w14:paraId="23E431EE" w14:textId="77777777" w:rsidR="00EE4038" w:rsidRPr="00941D7C" w:rsidRDefault="00EE4038">
            <w:pPr>
              <w:keepNext/>
            </w:pPr>
          </w:p>
        </w:tc>
      </w:tr>
      <w:tr w:rsidR="00EE4038" w:rsidRPr="00941D7C" w14:paraId="27001B3B" w14:textId="77777777" w:rsidTr="00EE4038">
        <w:trPr>
          <w:jc w:val="center"/>
        </w:trPr>
        <w:tc>
          <w:tcPr>
            <w:tcW w:w="4876" w:type="dxa"/>
            <w:hideMark/>
          </w:tcPr>
          <w:p w14:paraId="60499AF3"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02CA53DE" w14:textId="77777777" w:rsidR="00EE4038" w:rsidRPr="00941D7C" w:rsidRDefault="00EE4038">
            <w:pPr>
              <w:pStyle w:val="ColumnHeading"/>
              <w:keepNext/>
              <w:rPr>
                <w:lang w:val="en-GB"/>
              </w:rPr>
            </w:pPr>
            <w:r w:rsidRPr="00941D7C">
              <w:rPr>
                <w:lang w:val="en-GB"/>
              </w:rPr>
              <w:t>Amendment</w:t>
            </w:r>
          </w:p>
        </w:tc>
      </w:tr>
      <w:tr w:rsidR="00EE4038" w:rsidRPr="00941D7C" w14:paraId="30D104FB" w14:textId="77777777" w:rsidTr="00EE4038">
        <w:trPr>
          <w:jc w:val="center"/>
        </w:trPr>
        <w:tc>
          <w:tcPr>
            <w:tcW w:w="4876" w:type="dxa"/>
          </w:tcPr>
          <w:p w14:paraId="4A216706" w14:textId="77777777" w:rsidR="00EE4038" w:rsidRPr="00941D7C" w:rsidRDefault="00EE4038">
            <w:pPr>
              <w:pStyle w:val="Normal6"/>
              <w:rPr>
                <w:lang w:val="en-GB"/>
              </w:rPr>
            </w:pPr>
          </w:p>
        </w:tc>
        <w:tc>
          <w:tcPr>
            <w:tcW w:w="4876" w:type="dxa"/>
            <w:hideMark/>
          </w:tcPr>
          <w:p w14:paraId="7E7A31AF" w14:textId="02378F4F" w:rsidR="00EE4038" w:rsidRPr="00941D7C" w:rsidRDefault="00EE4038">
            <w:pPr>
              <w:pStyle w:val="Normal6"/>
              <w:rPr>
                <w:szCs w:val="24"/>
                <w:lang w:val="en-GB"/>
              </w:rPr>
            </w:pPr>
            <w:r w:rsidRPr="00941D7C">
              <w:rPr>
                <w:b/>
                <w:i/>
                <w:lang w:val="en-GB"/>
              </w:rPr>
              <w:t>(aa)</w:t>
            </w:r>
            <w:r w:rsidRPr="00941D7C">
              <w:rPr>
                <w:b/>
                <w:i/>
                <w:lang w:val="en-GB"/>
              </w:rPr>
              <w:tab/>
              <w:t>in paragraph 1, the following subparagraph is added:</w:t>
            </w:r>
          </w:p>
        </w:tc>
      </w:tr>
      <w:tr w:rsidR="00EE4038" w:rsidRPr="00941D7C" w14:paraId="20B1BA83" w14:textId="77777777" w:rsidTr="00EE4038">
        <w:trPr>
          <w:jc w:val="center"/>
        </w:trPr>
        <w:tc>
          <w:tcPr>
            <w:tcW w:w="4876" w:type="dxa"/>
          </w:tcPr>
          <w:p w14:paraId="5DB8D524" w14:textId="77777777" w:rsidR="00EE4038" w:rsidRPr="00941D7C" w:rsidRDefault="00EE4038">
            <w:pPr>
              <w:pStyle w:val="Normal6"/>
              <w:rPr>
                <w:lang w:val="en-GB"/>
              </w:rPr>
            </w:pPr>
          </w:p>
        </w:tc>
        <w:tc>
          <w:tcPr>
            <w:tcW w:w="4876" w:type="dxa"/>
            <w:hideMark/>
          </w:tcPr>
          <w:p w14:paraId="16D5BC9E" w14:textId="05D8C4C5" w:rsidR="00EE4038" w:rsidRPr="00941D7C" w:rsidRDefault="00BC2693" w:rsidP="00BC2693">
            <w:pPr>
              <w:rPr>
                <w:szCs w:val="24"/>
              </w:rPr>
            </w:pPr>
            <w:r w:rsidRPr="00941D7C">
              <w:rPr>
                <w:b/>
                <w:i/>
              </w:rPr>
              <w:t>‘Where the ultimate parent undertaking is a financial holding undertaking as defined in Article 2(15), it may be exempted from carrying out the obligations under this Directive. That exemption is subject to the condition that one of the ultimate parent undertaking’s subsidiaries established in the Union is designated to comply with those obligations on behalf of the ultimate parent undertaking.’;</w:t>
            </w:r>
          </w:p>
        </w:tc>
      </w:tr>
    </w:tbl>
    <w:p w14:paraId="5D4D0782"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6F25F0D9" w14:textId="77777777" w:rsidR="00EE4038" w:rsidRPr="00941D7C" w:rsidRDefault="00EE4038" w:rsidP="00EE4038">
      <w:r w:rsidRPr="00941D7C">
        <w:rPr>
          <w:rStyle w:val="HideTWBExt"/>
        </w:rPr>
        <w:t>&lt;/Amend&gt;</w:t>
      </w:r>
    </w:p>
    <w:p w14:paraId="1D95A0E2" w14:textId="3BBC687C"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28</w:t>
      </w:r>
      <w:r w:rsidRPr="00941D7C">
        <w:rPr>
          <w:rStyle w:val="HideTWBExt"/>
          <w:lang w:val="en-GB"/>
        </w:rPr>
        <w:t>&lt;/NumAm&gt;</w:t>
      </w:r>
    </w:p>
    <w:p w14:paraId="1049AEE2"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75C6D117"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2 – paragraph 1 – point 2 – point a b (new)</w:t>
      </w:r>
      <w:r w:rsidR="00E33574" w:rsidRPr="008C7353">
        <w:rPr>
          <w:lang w:val="fr-FR"/>
        </w:rPr>
        <w:t xml:space="preserve"> – point i</w:t>
      </w:r>
      <w:r w:rsidRPr="008C7353">
        <w:rPr>
          <w:rStyle w:val="HideTWBExt"/>
          <w:lang w:val="fr-FR"/>
        </w:rPr>
        <w:t>&lt;/Article&gt;</w:t>
      </w:r>
    </w:p>
    <w:p w14:paraId="67505A03" w14:textId="77777777" w:rsidR="00EE4038" w:rsidRPr="008C7353" w:rsidRDefault="00EE4038" w:rsidP="00EE4038">
      <w:pPr>
        <w:keepNext/>
        <w:rPr>
          <w:lang w:val="fr-FR"/>
        </w:rPr>
      </w:pPr>
      <w:r w:rsidRPr="008C7353">
        <w:rPr>
          <w:rStyle w:val="HideTWBExt"/>
          <w:lang w:val="fr-FR"/>
        </w:rPr>
        <w:t>&lt;DocAmend2&gt;</w:t>
      </w:r>
      <w:r w:rsidRPr="008C7353">
        <w:rPr>
          <w:lang w:val="fr-FR"/>
        </w:rPr>
        <w:t>Directive 2013/34/EU</w:t>
      </w:r>
      <w:r w:rsidRPr="008C7353">
        <w:rPr>
          <w:rStyle w:val="HideTWBExt"/>
          <w:lang w:val="fr-FR"/>
        </w:rPr>
        <w:t>&lt;/DocAmend2&gt;</w:t>
      </w:r>
    </w:p>
    <w:p w14:paraId="109A0C45" w14:textId="46014220" w:rsidR="00EE4038" w:rsidRPr="008C7353" w:rsidRDefault="00EE4038" w:rsidP="00EE4038">
      <w:pPr>
        <w:rPr>
          <w:lang w:val="fr-FR"/>
        </w:rPr>
      </w:pPr>
      <w:r w:rsidRPr="008C7353">
        <w:rPr>
          <w:rStyle w:val="HideTWBExt"/>
          <w:lang w:val="fr-FR"/>
        </w:rPr>
        <w:t>&lt;Article2&gt;</w:t>
      </w:r>
      <w:r w:rsidRPr="008C7353">
        <w:rPr>
          <w:lang w:val="fr-FR"/>
        </w:rPr>
        <w:t>Article 19a – paragraph 2</w:t>
      </w:r>
      <w:r w:rsidR="00E33574" w:rsidRPr="008C7353">
        <w:rPr>
          <w:lang w:val="fr-FR"/>
        </w:rPr>
        <w:t xml:space="preserve"> – point a – point iii</w:t>
      </w:r>
      <w:r w:rsidRPr="008C7353">
        <w:rPr>
          <w:rStyle w:val="HideTWBExt"/>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8C7353" w14:paraId="167B0C48" w14:textId="77777777" w:rsidTr="007C3CBA">
        <w:trPr>
          <w:jc w:val="center"/>
        </w:trPr>
        <w:tc>
          <w:tcPr>
            <w:tcW w:w="9752" w:type="dxa"/>
            <w:gridSpan w:val="2"/>
          </w:tcPr>
          <w:p w14:paraId="00D56B1E" w14:textId="77777777" w:rsidR="00EE4038" w:rsidRPr="008C7353" w:rsidRDefault="00EE4038">
            <w:pPr>
              <w:keepNext/>
              <w:rPr>
                <w:lang w:val="fr-FR"/>
              </w:rPr>
            </w:pPr>
          </w:p>
        </w:tc>
      </w:tr>
      <w:tr w:rsidR="00EE4038" w:rsidRPr="00941D7C" w14:paraId="5FBB80D5" w14:textId="77777777" w:rsidTr="007C3CBA">
        <w:trPr>
          <w:jc w:val="center"/>
        </w:trPr>
        <w:tc>
          <w:tcPr>
            <w:tcW w:w="4876" w:type="dxa"/>
            <w:hideMark/>
          </w:tcPr>
          <w:p w14:paraId="0992EA59" w14:textId="77777777" w:rsidR="00EE4038" w:rsidRPr="00941D7C" w:rsidRDefault="00EE4038">
            <w:pPr>
              <w:pStyle w:val="ColumnHeading"/>
              <w:keepNext/>
              <w:rPr>
                <w:lang w:val="en-GB"/>
              </w:rPr>
            </w:pPr>
            <w:r w:rsidRPr="00941D7C">
              <w:rPr>
                <w:lang w:val="en-GB"/>
              </w:rPr>
              <w:t>Present text</w:t>
            </w:r>
          </w:p>
        </w:tc>
        <w:tc>
          <w:tcPr>
            <w:tcW w:w="4876" w:type="dxa"/>
            <w:hideMark/>
          </w:tcPr>
          <w:p w14:paraId="6434FC2F" w14:textId="77777777" w:rsidR="00EE4038" w:rsidRPr="00941D7C" w:rsidRDefault="00EE4038">
            <w:pPr>
              <w:pStyle w:val="ColumnHeading"/>
              <w:keepNext/>
              <w:rPr>
                <w:lang w:val="en-GB"/>
              </w:rPr>
            </w:pPr>
            <w:r w:rsidRPr="00941D7C">
              <w:rPr>
                <w:lang w:val="en-GB"/>
              </w:rPr>
              <w:t>Amendment</w:t>
            </w:r>
          </w:p>
        </w:tc>
      </w:tr>
      <w:tr w:rsidR="00EE4038" w:rsidRPr="00941D7C" w14:paraId="73A09E4F" w14:textId="77777777" w:rsidTr="007C3CBA">
        <w:trPr>
          <w:jc w:val="center"/>
        </w:trPr>
        <w:tc>
          <w:tcPr>
            <w:tcW w:w="4876" w:type="dxa"/>
          </w:tcPr>
          <w:p w14:paraId="374A6729" w14:textId="77777777" w:rsidR="00EE4038" w:rsidRPr="00941D7C" w:rsidRDefault="00EE4038">
            <w:pPr>
              <w:pStyle w:val="Normal6"/>
              <w:rPr>
                <w:lang w:val="en-GB"/>
              </w:rPr>
            </w:pPr>
          </w:p>
        </w:tc>
        <w:tc>
          <w:tcPr>
            <w:tcW w:w="4876" w:type="dxa"/>
            <w:hideMark/>
          </w:tcPr>
          <w:p w14:paraId="3C646C6E" w14:textId="3952A0BD" w:rsidR="00EE4038" w:rsidRPr="00941D7C" w:rsidRDefault="00EE4038">
            <w:pPr>
              <w:pStyle w:val="Normal6"/>
              <w:rPr>
                <w:szCs w:val="24"/>
                <w:lang w:val="en-GB"/>
              </w:rPr>
            </w:pPr>
            <w:r w:rsidRPr="00941D7C">
              <w:rPr>
                <w:b/>
                <w:i/>
                <w:lang w:val="en-GB"/>
              </w:rPr>
              <w:t>(ab)</w:t>
            </w:r>
            <w:r w:rsidRPr="00941D7C">
              <w:rPr>
                <w:b/>
                <w:i/>
                <w:lang w:val="en-GB"/>
              </w:rPr>
              <w:tab/>
              <w:t>paragraph 2 is amended as follows:</w:t>
            </w:r>
          </w:p>
        </w:tc>
      </w:tr>
      <w:tr w:rsidR="00EE4038" w:rsidRPr="00941D7C" w14:paraId="78FA6E69" w14:textId="77777777" w:rsidTr="007C3CBA">
        <w:trPr>
          <w:jc w:val="center"/>
        </w:trPr>
        <w:tc>
          <w:tcPr>
            <w:tcW w:w="4876" w:type="dxa"/>
          </w:tcPr>
          <w:p w14:paraId="73E6418B" w14:textId="77777777" w:rsidR="00EE4038" w:rsidRPr="00941D7C" w:rsidRDefault="00EE4038">
            <w:pPr>
              <w:pStyle w:val="Normal6"/>
              <w:rPr>
                <w:lang w:val="en-GB"/>
              </w:rPr>
            </w:pPr>
          </w:p>
        </w:tc>
        <w:tc>
          <w:tcPr>
            <w:tcW w:w="4876" w:type="dxa"/>
            <w:hideMark/>
          </w:tcPr>
          <w:p w14:paraId="636D73A5" w14:textId="76E4A472" w:rsidR="00EE4038" w:rsidRPr="00941D7C" w:rsidRDefault="00EE4038" w:rsidP="007C6F83">
            <w:pPr>
              <w:pStyle w:val="Normal6"/>
              <w:rPr>
                <w:szCs w:val="24"/>
                <w:lang w:val="en-GB"/>
              </w:rPr>
            </w:pPr>
            <w:r w:rsidRPr="00941D7C">
              <w:rPr>
                <w:b/>
                <w:i/>
                <w:lang w:val="en-GB"/>
              </w:rPr>
              <w:t>(i)</w:t>
            </w:r>
            <w:r w:rsidR="00E33574" w:rsidRPr="00941D7C">
              <w:rPr>
                <w:b/>
                <w:i/>
                <w:lang w:val="en-GB"/>
              </w:rPr>
              <w:tab/>
            </w:r>
            <w:r w:rsidR="007C6F83" w:rsidRPr="00941D7C">
              <w:rPr>
                <w:b/>
                <w:i/>
                <w:lang w:val="en-GB"/>
              </w:rPr>
              <w:t xml:space="preserve">in point (a), </w:t>
            </w:r>
            <w:r w:rsidRPr="00941D7C">
              <w:rPr>
                <w:b/>
                <w:i/>
                <w:lang w:val="en-GB"/>
              </w:rPr>
              <w:t>point (iii) is replaced by the following:</w:t>
            </w:r>
          </w:p>
        </w:tc>
      </w:tr>
      <w:tr w:rsidR="00EE4038" w:rsidRPr="00941D7C" w14:paraId="5CEF56A1" w14:textId="77777777" w:rsidTr="007C3CBA">
        <w:trPr>
          <w:jc w:val="center"/>
        </w:trPr>
        <w:tc>
          <w:tcPr>
            <w:tcW w:w="4876" w:type="dxa"/>
            <w:hideMark/>
          </w:tcPr>
          <w:p w14:paraId="3A6A9A72" w14:textId="77777777" w:rsidR="00EE4038" w:rsidRPr="00941D7C" w:rsidRDefault="00EE4038">
            <w:pPr>
              <w:pStyle w:val="Normal6"/>
              <w:rPr>
                <w:b/>
                <w:i/>
                <w:lang w:val="en-GB"/>
              </w:rPr>
            </w:pPr>
            <w:r w:rsidRPr="00941D7C">
              <w:rPr>
                <w:lang w:val="en-GB"/>
              </w:rPr>
              <w:t>(iii)</w:t>
            </w:r>
            <w:r w:rsidRPr="00941D7C">
              <w:rPr>
                <w:b/>
                <w:i/>
                <w:lang w:val="en-GB"/>
              </w:rPr>
              <w:tab/>
              <w:t>the plans of the undertaking, including implementing actions and related financial and investment plans, to ensure that its business model and strategy are compatible with the transition to a sustainable economy and with the limiting of global warming to 1,5 °C in line with the Paris Agreement under the United Nations Framework Convention on Climate Change adopted on 12 December 2015 (the ‘Paris Agreement’) and the objective of achieving climate neutrality by 2050 as established in Regulation (EU) 2021/1119 of the European Parliament and of the Council</w:t>
            </w:r>
            <w:r w:rsidRPr="00941D7C">
              <w:rPr>
                <w:b/>
                <w:i/>
                <w:vertAlign w:val="superscript"/>
                <w:lang w:val="en-GB"/>
              </w:rPr>
              <w:t>(1)</w:t>
            </w:r>
            <w:r w:rsidRPr="00941D7C">
              <w:rPr>
                <w:b/>
                <w:i/>
                <w:lang w:val="en-GB"/>
              </w:rPr>
              <w:t>, and, where relevant, the exposure of the undertaking to coal-, oil- and gas-related activities;</w:t>
            </w:r>
          </w:p>
        </w:tc>
        <w:tc>
          <w:tcPr>
            <w:tcW w:w="4876" w:type="dxa"/>
            <w:hideMark/>
          </w:tcPr>
          <w:p w14:paraId="26B3DB43" w14:textId="4D038F10" w:rsidR="00EE4038" w:rsidRPr="00941D7C" w:rsidRDefault="00EE4038" w:rsidP="007C6F83">
            <w:pPr>
              <w:pStyle w:val="Normal6"/>
              <w:rPr>
                <w:szCs w:val="24"/>
                <w:lang w:val="en-GB"/>
              </w:rPr>
            </w:pPr>
            <w:r w:rsidRPr="00941D7C">
              <w:rPr>
                <w:b/>
                <w:i/>
                <w:lang w:val="en-GB"/>
              </w:rPr>
              <w:t>‘</w:t>
            </w:r>
            <w:r w:rsidRPr="00941D7C">
              <w:rPr>
                <w:lang w:val="en-GB"/>
              </w:rPr>
              <w:t>(iii)</w:t>
            </w:r>
            <w:r w:rsidRPr="00941D7C">
              <w:rPr>
                <w:b/>
                <w:i/>
                <w:lang w:val="en-GB"/>
              </w:rPr>
              <w:tab/>
              <w:t>any climate-related transition plan</w:t>
            </w:r>
            <w:r w:rsidR="007C6F83" w:rsidRPr="00941D7C">
              <w:rPr>
                <w:b/>
                <w:i/>
                <w:lang w:val="en-GB"/>
              </w:rPr>
              <w:t>s</w:t>
            </w:r>
            <w:r w:rsidRPr="00941D7C">
              <w:rPr>
                <w:b/>
                <w:i/>
                <w:lang w:val="en-GB"/>
              </w:rPr>
              <w:t xml:space="preserve"> of the undertaking, if such a plan exists;’</w:t>
            </w:r>
            <w:r w:rsidR="007C6F83" w:rsidRPr="00941D7C">
              <w:rPr>
                <w:b/>
                <w:i/>
                <w:lang w:val="en-GB"/>
              </w:rPr>
              <w:t>;</w:t>
            </w:r>
          </w:p>
        </w:tc>
      </w:tr>
    </w:tbl>
    <w:p w14:paraId="1CCB767B"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448D0362" w14:textId="77777777" w:rsidR="00EE4038" w:rsidRPr="00941D7C" w:rsidRDefault="00EE4038" w:rsidP="00EE4038">
      <w:r w:rsidRPr="00941D7C">
        <w:rPr>
          <w:rStyle w:val="HideTWBExt"/>
        </w:rPr>
        <w:t>&lt;/Amend&gt;</w:t>
      </w:r>
    </w:p>
    <w:p w14:paraId="70C79101" w14:textId="7F3413D8" w:rsidR="00E33574" w:rsidRPr="00941D7C" w:rsidRDefault="00E33574" w:rsidP="00E33574">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29</w:t>
      </w:r>
      <w:r w:rsidRPr="00941D7C">
        <w:rPr>
          <w:rStyle w:val="HideTWBExt"/>
          <w:lang w:val="en-GB"/>
        </w:rPr>
        <w:t>&lt;/NumAm&gt;</w:t>
      </w:r>
    </w:p>
    <w:p w14:paraId="3312BB5D" w14:textId="77777777" w:rsidR="00E33574" w:rsidRPr="00941D7C" w:rsidRDefault="00E33574" w:rsidP="00E33574">
      <w:pPr>
        <w:pStyle w:val="NormalBold12b"/>
        <w:keepNext/>
      </w:pPr>
      <w:r w:rsidRPr="00941D7C">
        <w:rPr>
          <w:rStyle w:val="HideTWBExt"/>
        </w:rPr>
        <w:t>&lt;DocAmend&gt;</w:t>
      </w:r>
      <w:r w:rsidRPr="00941D7C">
        <w:t>Proposal for a directive</w:t>
      </w:r>
      <w:r w:rsidRPr="00941D7C">
        <w:rPr>
          <w:rStyle w:val="HideTWBExt"/>
        </w:rPr>
        <w:t>&lt;/DocAmend&gt;</w:t>
      </w:r>
    </w:p>
    <w:p w14:paraId="70AABD1E" w14:textId="3C85A45F" w:rsidR="00E33574" w:rsidRPr="008C7353" w:rsidRDefault="00E33574" w:rsidP="00E33574">
      <w:pPr>
        <w:pStyle w:val="NormalBold"/>
        <w:rPr>
          <w:lang w:val="fr-FR"/>
        </w:rPr>
      </w:pPr>
      <w:r w:rsidRPr="008C7353">
        <w:rPr>
          <w:rStyle w:val="HideTWBExt"/>
          <w:lang w:val="fr-FR"/>
        </w:rPr>
        <w:t>&lt;Article&gt;</w:t>
      </w:r>
      <w:r w:rsidRPr="008C7353">
        <w:rPr>
          <w:lang w:val="fr-FR"/>
        </w:rPr>
        <w:t xml:space="preserve">Article 2 – paragraph 1 – point 2 – point a </w:t>
      </w:r>
      <w:r w:rsidR="004C0385" w:rsidRPr="008C7353">
        <w:rPr>
          <w:lang w:val="fr-FR"/>
        </w:rPr>
        <w:t>b</w:t>
      </w:r>
      <w:r w:rsidRPr="008C7353">
        <w:rPr>
          <w:lang w:val="fr-FR"/>
        </w:rPr>
        <w:t xml:space="preserve"> (new) – point ii</w:t>
      </w:r>
      <w:r w:rsidRPr="008C7353">
        <w:rPr>
          <w:rStyle w:val="HideTWBExt"/>
          <w:lang w:val="fr-FR"/>
        </w:rPr>
        <w:t>&lt;/Article&gt;</w:t>
      </w:r>
    </w:p>
    <w:p w14:paraId="61261C09" w14:textId="77777777" w:rsidR="00E33574" w:rsidRPr="008C7353" w:rsidRDefault="00E33574" w:rsidP="00E33574">
      <w:pPr>
        <w:keepNext/>
        <w:rPr>
          <w:lang w:val="fr-FR"/>
        </w:rPr>
      </w:pPr>
      <w:r w:rsidRPr="008C7353">
        <w:rPr>
          <w:rStyle w:val="HideTWBExt"/>
          <w:lang w:val="fr-FR"/>
        </w:rPr>
        <w:t>&lt;DocAmend2&gt;</w:t>
      </w:r>
      <w:r w:rsidRPr="008C7353">
        <w:rPr>
          <w:lang w:val="fr-FR"/>
        </w:rPr>
        <w:t>Directive 2013/34/EU</w:t>
      </w:r>
      <w:r w:rsidRPr="008C7353">
        <w:rPr>
          <w:rStyle w:val="HideTWBExt"/>
          <w:lang w:val="fr-FR"/>
        </w:rPr>
        <w:t>&lt;/DocAmend2&gt;</w:t>
      </w:r>
    </w:p>
    <w:p w14:paraId="0E0E7418" w14:textId="77777777" w:rsidR="00E33574" w:rsidRPr="008C7353" w:rsidRDefault="00E33574" w:rsidP="00E33574">
      <w:pPr>
        <w:rPr>
          <w:lang w:val="fr-FR"/>
        </w:rPr>
      </w:pPr>
      <w:r w:rsidRPr="008C7353">
        <w:rPr>
          <w:rStyle w:val="HideTWBExt"/>
          <w:lang w:val="fr-FR"/>
        </w:rPr>
        <w:t>&lt;Article2&gt;</w:t>
      </w:r>
      <w:r w:rsidRPr="008C7353">
        <w:rPr>
          <w:lang w:val="fr-FR"/>
        </w:rPr>
        <w:t>Article 19a – paragraph 2 – point f – point ii</w:t>
      </w:r>
      <w:r w:rsidRPr="008C7353">
        <w:rPr>
          <w:rStyle w:val="HideTWBExt"/>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33574" w:rsidRPr="008C7353" w14:paraId="1A3CB73F" w14:textId="77777777" w:rsidTr="007C3CBA">
        <w:trPr>
          <w:jc w:val="center"/>
        </w:trPr>
        <w:tc>
          <w:tcPr>
            <w:tcW w:w="9752" w:type="dxa"/>
            <w:gridSpan w:val="2"/>
          </w:tcPr>
          <w:p w14:paraId="5B8862A2" w14:textId="77777777" w:rsidR="00E33574" w:rsidRPr="008C7353" w:rsidRDefault="00E33574" w:rsidP="005D3964">
            <w:pPr>
              <w:keepNext/>
              <w:rPr>
                <w:lang w:val="fr-FR"/>
              </w:rPr>
            </w:pPr>
          </w:p>
        </w:tc>
      </w:tr>
      <w:tr w:rsidR="00E33574" w:rsidRPr="00941D7C" w14:paraId="5F63BFBA" w14:textId="77777777" w:rsidTr="007C3CBA">
        <w:trPr>
          <w:jc w:val="center"/>
        </w:trPr>
        <w:tc>
          <w:tcPr>
            <w:tcW w:w="4876" w:type="dxa"/>
            <w:hideMark/>
          </w:tcPr>
          <w:p w14:paraId="264EAFEC" w14:textId="77777777" w:rsidR="00E33574" w:rsidRPr="00941D7C" w:rsidRDefault="00E33574" w:rsidP="005D3964">
            <w:pPr>
              <w:pStyle w:val="ColumnHeading"/>
              <w:keepNext/>
              <w:rPr>
                <w:lang w:val="en-GB"/>
              </w:rPr>
            </w:pPr>
            <w:r w:rsidRPr="00941D7C">
              <w:rPr>
                <w:lang w:val="en-GB"/>
              </w:rPr>
              <w:t>Present text</w:t>
            </w:r>
          </w:p>
        </w:tc>
        <w:tc>
          <w:tcPr>
            <w:tcW w:w="4876" w:type="dxa"/>
            <w:hideMark/>
          </w:tcPr>
          <w:p w14:paraId="33BFC7E1" w14:textId="77777777" w:rsidR="00E33574" w:rsidRPr="00941D7C" w:rsidRDefault="00E33574" w:rsidP="005D3964">
            <w:pPr>
              <w:pStyle w:val="ColumnHeading"/>
              <w:keepNext/>
              <w:rPr>
                <w:lang w:val="en-GB"/>
              </w:rPr>
            </w:pPr>
            <w:r w:rsidRPr="00941D7C">
              <w:rPr>
                <w:lang w:val="en-GB"/>
              </w:rPr>
              <w:t>Amendment</w:t>
            </w:r>
          </w:p>
        </w:tc>
      </w:tr>
      <w:tr w:rsidR="00E33574" w:rsidRPr="00941D7C" w14:paraId="7FAB8C6C" w14:textId="77777777" w:rsidTr="007C3CBA">
        <w:trPr>
          <w:jc w:val="center"/>
        </w:trPr>
        <w:tc>
          <w:tcPr>
            <w:tcW w:w="4876" w:type="dxa"/>
          </w:tcPr>
          <w:p w14:paraId="10BF3D3B" w14:textId="77777777" w:rsidR="00E33574" w:rsidRPr="00941D7C" w:rsidRDefault="00E33574" w:rsidP="005D3964">
            <w:pPr>
              <w:pStyle w:val="Normal6"/>
              <w:rPr>
                <w:lang w:val="en-GB"/>
              </w:rPr>
            </w:pPr>
          </w:p>
        </w:tc>
        <w:tc>
          <w:tcPr>
            <w:tcW w:w="4876" w:type="dxa"/>
            <w:hideMark/>
          </w:tcPr>
          <w:p w14:paraId="139CC12D" w14:textId="6DFFAD32" w:rsidR="00E33574" w:rsidRPr="00941D7C" w:rsidRDefault="00E33574" w:rsidP="007C6F83">
            <w:pPr>
              <w:pStyle w:val="Normal6"/>
              <w:rPr>
                <w:szCs w:val="24"/>
                <w:lang w:val="en-GB"/>
              </w:rPr>
            </w:pPr>
            <w:r w:rsidRPr="00941D7C">
              <w:rPr>
                <w:b/>
                <w:i/>
                <w:lang w:val="en-GB"/>
              </w:rPr>
              <w:t>(ii)</w:t>
            </w:r>
            <w:r w:rsidRPr="00941D7C">
              <w:rPr>
                <w:b/>
                <w:i/>
                <w:lang w:val="en-GB"/>
              </w:rPr>
              <w:tab/>
            </w:r>
            <w:r w:rsidR="007C6F83" w:rsidRPr="00941D7C">
              <w:rPr>
                <w:b/>
                <w:i/>
                <w:lang w:val="en-GB"/>
              </w:rPr>
              <w:t xml:space="preserve">in point (f), </w:t>
            </w:r>
            <w:r w:rsidRPr="00941D7C">
              <w:rPr>
                <w:b/>
                <w:i/>
                <w:lang w:val="en-GB"/>
              </w:rPr>
              <w:t>point (ii) is replaced by the following:</w:t>
            </w:r>
          </w:p>
        </w:tc>
      </w:tr>
      <w:tr w:rsidR="00E33574" w:rsidRPr="00941D7C" w14:paraId="0E80970D" w14:textId="77777777" w:rsidTr="007C3CBA">
        <w:trPr>
          <w:jc w:val="center"/>
        </w:trPr>
        <w:tc>
          <w:tcPr>
            <w:tcW w:w="4876" w:type="dxa"/>
            <w:hideMark/>
          </w:tcPr>
          <w:p w14:paraId="73370A76" w14:textId="67E6B794" w:rsidR="00E33574" w:rsidRPr="00941D7C" w:rsidRDefault="00E33574" w:rsidP="005D3964">
            <w:pPr>
              <w:pStyle w:val="Normal6"/>
              <w:rPr>
                <w:lang w:val="en-GB"/>
              </w:rPr>
            </w:pPr>
            <w:r w:rsidRPr="00941D7C">
              <w:rPr>
                <w:lang w:val="en-GB"/>
              </w:rPr>
              <w:t>(ii)</w:t>
            </w:r>
            <w:r w:rsidRPr="00941D7C">
              <w:rPr>
                <w:b/>
                <w:i/>
                <w:lang w:val="en-GB"/>
              </w:rPr>
              <w:tab/>
            </w:r>
            <w:r w:rsidRPr="00941D7C">
              <w:rPr>
                <w:lang w:val="en-GB"/>
              </w:rPr>
              <w:t xml:space="preserve">the principal actual or potential adverse impacts connected with the undertaking’s own operations and with its </w:t>
            </w:r>
            <w:r w:rsidRPr="00941D7C">
              <w:rPr>
                <w:b/>
                <w:i/>
                <w:lang w:val="en-GB"/>
              </w:rPr>
              <w:t>value</w:t>
            </w:r>
            <w:r w:rsidRPr="00941D7C">
              <w:rPr>
                <w:lang w:val="en-GB"/>
              </w:rPr>
              <w:t xml:space="preserve"> chain, including its products </w:t>
            </w:r>
            <w:r w:rsidR="00FF4D1D" w:rsidRPr="00941D7C">
              <w:rPr>
                <w:lang w:val="en-GB"/>
              </w:rPr>
              <w:t>and services, its business rela</w:t>
            </w:r>
            <w:r w:rsidRPr="00941D7C">
              <w:rPr>
                <w:lang w:val="en-GB"/>
              </w:rPr>
              <w:t>tionships and its supply chain, actions taken to identify and monitor those impacts, and other adverse impacts which the undertaking is required to identify pursuant to other Union requirements on undertakings to conduct a due diligence process</w:t>
            </w:r>
          </w:p>
        </w:tc>
        <w:tc>
          <w:tcPr>
            <w:tcW w:w="4876" w:type="dxa"/>
            <w:hideMark/>
          </w:tcPr>
          <w:p w14:paraId="21993B31" w14:textId="3D9CDB61" w:rsidR="00E33574" w:rsidRPr="00941D7C" w:rsidRDefault="00E33574" w:rsidP="005D3964">
            <w:pPr>
              <w:pStyle w:val="Normal6"/>
              <w:rPr>
                <w:szCs w:val="24"/>
                <w:lang w:val="en-GB"/>
              </w:rPr>
            </w:pPr>
            <w:r w:rsidRPr="00941D7C">
              <w:rPr>
                <w:b/>
                <w:i/>
                <w:lang w:val="en-GB"/>
              </w:rPr>
              <w:t>‘</w:t>
            </w:r>
            <w:r w:rsidRPr="00941D7C">
              <w:rPr>
                <w:lang w:val="en-GB"/>
              </w:rPr>
              <w:t>(ii)</w:t>
            </w:r>
            <w:r w:rsidRPr="00941D7C">
              <w:rPr>
                <w:b/>
                <w:i/>
                <w:lang w:val="en-GB"/>
              </w:rPr>
              <w:tab/>
            </w:r>
            <w:r w:rsidRPr="00941D7C">
              <w:rPr>
                <w:lang w:val="en-GB"/>
              </w:rPr>
              <w:t>the principal actual or potential adverse</w:t>
            </w:r>
            <w:r w:rsidRPr="00941D7C">
              <w:rPr>
                <w:b/>
                <w:i/>
                <w:lang w:val="en-GB"/>
              </w:rPr>
              <w:t xml:space="preserve"> </w:t>
            </w:r>
            <w:r w:rsidRPr="00941D7C">
              <w:rPr>
                <w:lang w:val="en-GB"/>
              </w:rPr>
              <w:t>impacts connected with the undertaking’s own operations and with its</w:t>
            </w:r>
            <w:r w:rsidRPr="00941D7C">
              <w:rPr>
                <w:b/>
                <w:i/>
                <w:lang w:val="en-GB"/>
              </w:rPr>
              <w:t xml:space="preserve"> </w:t>
            </w:r>
            <w:r w:rsidRPr="00941D7C">
              <w:rPr>
                <w:lang w:val="en-GB"/>
              </w:rPr>
              <w:t>chain</w:t>
            </w:r>
            <w:r w:rsidRPr="00941D7C">
              <w:rPr>
                <w:b/>
                <w:i/>
                <w:lang w:val="en-GB"/>
              </w:rPr>
              <w:t xml:space="preserve"> of activities</w:t>
            </w:r>
            <w:r w:rsidRPr="00941D7C">
              <w:rPr>
                <w:lang w:val="en-GB"/>
              </w:rPr>
              <w:t>, including its products and services, its business relationships and its supply chain, actions taken to identify and monitor those impacts, and other adverse impacts which the undertaking is required to identify pursuant to other Union requirements on undertakings to conduct a due diligence process;</w:t>
            </w:r>
            <w:r w:rsidRPr="00941D7C">
              <w:rPr>
                <w:b/>
                <w:i/>
                <w:lang w:val="en-GB"/>
              </w:rPr>
              <w:t>’</w:t>
            </w:r>
            <w:r w:rsidR="00775E11" w:rsidRPr="00941D7C">
              <w:rPr>
                <w:b/>
                <w:i/>
                <w:lang w:val="en-GB"/>
              </w:rPr>
              <w:t>;</w:t>
            </w:r>
          </w:p>
        </w:tc>
      </w:tr>
    </w:tbl>
    <w:p w14:paraId="762F95CD" w14:textId="77777777" w:rsidR="00E33574" w:rsidRPr="00941D7C" w:rsidRDefault="00E33574" w:rsidP="00E33574">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1A92CFA3" w14:textId="77777777" w:rsidR="00E33574" w:rsidRPr="00941D7C" w:rsidRDefault="00E33574" w:rsidP="00E33574">
      <w:r w:rsidRPr="00941D7C">
        <w:rPr>
          <w:rStyle w:val="HideTWBExt"/>
        </w:rPr>
        <w:t>&lt;/Amend&gt;</w:t>
      </w:r>
    </w:p>
    <w:p w14:paraId="0D3464ED" w14:textId="04A44B75"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30</w:t>
      </w:r>
      <w:r w:rsidRPr="00941D7C">
        <w:rPr>
          <w:rStyle w:val="HideTWBExt"/>
          <w:lang w:val="en-GB"/>
        </w:rPr>
        <w:t>&lt;/NumAm&gt;</w:t>
      </w:r>
    </w:p>
    <w:p w14:paraId="2E10A13B"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4F0612B3"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2 – paragraph 1 – point 2 – point b – point i</w:t>
      </w:r>
      <w:r w:rsidRPr="008C7353">
        <w:rPr>
          <w:rStyle w:val="HideTWBExt"/>
          <w:lang w:val="fr-FR"/>
        </w:rPr>
        <w:t>&lt;/Article&gt;</w:t>
      </w:r>
    </w:p>
    <w:p w14:paraId="370834B2" w14:textId="77777777" w:rsidR="00EE4038" w:rsidRPr="00941D7C" w:rsidRDefault="00EE4038" w:rsidP="00EE4038">
      <w:pPr>
        <w:keepNext/>
      </w:pPr>
      <w:r w:rsidRPr="00941D7C">
        <w:rPr>
          <w:rStyle w:val="HideTWBExt"/>
        </w:rPr>
        <w:t>&lt;DocAmend2&gt;</w:t>
      </w:r>
      <w:r w:rsidRPr="00941D7C">
        <w:t>Directive 2013/34/EU</w:t>
      </w:r>
      <w:r w:rsidRPr="00941D7C">
        <w:rPr>
          <w:rStyle w:val="HideTWBExt"/>
        </w:rPr>
        <w:t>&lt;/DocAmend2&gt;</w:t>
      </w:r>
    </w:p>
    <w:p w14:paraId="50DA5812" w14:textId="77777777" w:rsidR="00EE4038" w:rsidRPr="00941D7C" w:rsidRDefault="00EE4038" w:rsidP="00EE4038">
      <w:r w:rsidRPr="00941D7C">
        <w:rPr>
          <w:rStyle w:val="HideTWBExt"/>
        </w:rPr>
        <w:t>&lt;Article2&gt;</w:t>
      </w:r>
      <w:r w:rsidRPr="00941D7C">
        <w:t>Article 19a – paragraph 3 – subparagraph 1</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1588A80F" w14:textId="77777777" w:rsidTr="00EE4038">
        <w:trPr>
          <w:jc w:val="center"/>
        </w:trPr>
        <w:tc>
          <w:tcPr>
            <w:tcW w:w="9752" w:type="dxa"/>
            <w:gridSpan w:val="2"/>
          </w:tcPr>
          <w:p w14:paraId="63718859" w14:textId="77777777" w:rsidR="00EE4038" w:rsidRPr="00941D7C" w:rsidRDefault="00EE4038">
            <w:pPr>
              <w:keepNext/>
            </w:pPr>
          </w:p>
        </w:tc>
      </w:tr>
      <w:tr w:rsidR="00EE4038" w:rsidRPr="00941D7C" w14:paraId="3030FF73" w14:textId="77777777" w:rsidTr="00EE4038">
        <w:trPr>
          <w:jc w:val="center"/>
        </w:trPr>
        <w:tc>
          <w:tcPr>
            <w:tcW w:w="4876" w:type="dxa"/>
            <w:hideMark/>
          </w:tcPr>
          <w:p w14:paraId="36A4063D"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4D90343E" w14:textId="77777777" w:rsidR="00EE4038" w:rsidRPr="00941D7C" w:rsidRDefault="00EE4038">
            <w:pPr>
              <w:pStyle w:val="ColumnHeading"/>
              <w:keepNext/>
              <w:rPr>
                <w:lang w:val="en-GB"/>
              </w:rPr>
            </w:pPr>
            <w:r w:rsidRPr="00941D7C">
              <w:rPr>
                <w:lang w:val="en-GB"/>
              </w:rPr>
              <w:t>Amendment</w:t>
            </w:r>
          </w:p>
        </w:tc>
      </w:tr>
      <w:tr w:rsidR="00EE4038" w:rsidRPr="00941D7C" w14:paraId="4DD8C549" w14:textId="77777777" w:rsidTr="00EE4038">
        <w:trPr>
          <w:jc w:val="center"/>
        </w:trPr>
        <w:tc>
          <w:tcPr>
            <w:tcW w:w="4876" w:type="dxa"/>
            <w:hideMark/>
          </w:tcPr>
          <w:p w14:paraId="62C498D8" w14:textId="77777777" w:rsidR="00EE4038" w:rsidRPr="00941D7C" w:rsidRDefault="00EE4038">
            <w:pPr>
              <w:pStyle w:val="Normal6"/>
              <w:rPr>
                <w:lang w:val="en-GB"/>
              </w:rPr>
            </w:pPr>
            <w:r w:rsidRPr="00941D7C">
              <w:rPr>
                <w:lang w:val="en-GB"/>
              </w:rPr>
              <w:t xml:space="preserve">Where applicable, the information referred to in paragraphs 1 and 2 shall contain information about the undertaking’s own operations and about its </w:t>
            </w:r>
            <w:r w:rsidRPr="00941D7C">
              <w:rPr>
                <w:b/>
                <w:i/>
                <w:lang w:val="en-GB"/>
              </w:rPr>
              <w:t>value</w:t>
            </w:r>
            <w:r w:rsidRPr="00941D7C">
              <w:rPr>
                <w:lang w:val="en-GB"/>
              </w:rPr>
              <w:t xml:space="preserve"> chain, including its products and services, its business relationships and its supply chain. Member States shall ensure that, for the reporting of sustainability information as required by this Directive, undertakings do not seek to obtain from undertakings in their </w:t>
            </w:r>
            <w:r w:rsidRPr="00941D7C">
              <w:rPr>
                <w:b/>
                <w:i/>
                <w:lang w:val="en-GB"/>
              </w:rPr>
              <w:t>value</w:t>
            </w:r>
            <w:r w:rsidRPr="00941D7C">
              <w:rPr>
                <w:lang w:val="en-GB"/>
              </w:rPr>
              <w:t xml:space="preserve"> chain which, on their balance sheet dates, do not exceed the average number of </w:t>
            </w:r>
            <w:r w:rsidRPr="00941D7C">
              <w:rPr>
                <w:b/>
                <w:i/>
                <w:lang w:val="en-GB"/>
              </w:rPr>
              <w:t>1000</w:t>
            </w:r>
            <w:r w:rsidRPr="00941D7C">
              <w:rPr>
                <w:lang w:val="en-GB"/>
              </w:rPr>
              <w:t xml:space="preserve"> employees during the financial year any information that exceeds the information specified in the standards for voluntary use referred to in Article 29ca, except for additional sustainability information that is commonly shared between undertakings in the sector concerned. Undertakings that report the necessary </w:t>
            </w:r>
            <w:r w:rsidRPr="00941D7C">
              <w:rPr>
                <w:b/>
                <w:i/>
                <w:lang w:val="en-GB"/>
              </w:rPr>
              <w:t>value</w:t>
            </w:r>
            <w:r w:rsidRPr="00941D7C">
              <w:rPr>
                <w:lang w:val="en-GB"/>
              </w:rPr>
              <w:t xml:space="preserve"> chain </w:t>
            </w:r>
            <w:r w:rsidRPr="00941D7C">
              <w:rPr>
                <w:b/>
                <w:i/>
                <w:lang w:val="en-GB"/>
              </w:rPr>
              <w:t>information</w:t>
            </w:r>
            <w:r w:rsidRPr="00941D7C">
              <w:rPr>
                <w:lang w:val="en-GB"/>
              </w:rPr>
              <w:t xml:space="preserve"> without reporting from undertakings in their </w:t>
            </w:r>
            <w:r w:rsidRPr="00941D7C">
              <w:rPr>
                <w:b/>
                <w:i/>
                <w:lang w:val="en-GB"/>
              </w:rPr>
              <w:t>value</w:t>
            </w:r>
            <w:r w:rsidRPr="00941D7C">
              <w:rPr>
                <w:lang w:val="en-GB"/>
              </w:rPr>
              <w:t xml:space="preserve"> chain which, on their balance sheet dates, do not exceed the average number of </w:t>
            </w:r>
            <w:r w:rsidRPr="00941D7C">
              <w:rPr>
                <w:b/>
                <w:i/>
                <w:lang w:val="en-GB"/>
              </w:rPr>
              <w:t>1000</w:t>
            </w:r>
            <w:r w:rsidRPr="00941D7C">
              <w:rPr>
                <w:lang w:val="en-GB"/>
              </w:rPr>
              <w:t xml:space="preserve"> employees during the financial year any information that exceeds the information specified in the standards for voluntary use referred to in Article 29ca, except for additional sustainability information that is commonly shared between undertakings in the sector concerned, shall be deemed to have complied with the obligation to report </w:t>
            </w:r>
            <w:r w:rsidRPr="00941D7C">
              <w:rPr>
                <w:b/>
                <w:i/>
                <w:lang w:val="en-GB"/>
              </w:rPr>
              <w:t>value</w:t>
            </w:r>
            <w:r w:rsidRPr="00941D7C">
              <w:rPr>
                <w:lang w:val="en-GB"/>
              </w:rPr>
              <w:t xml:space="preserve"> chain </w:t>
            </w:r>
            <w:r w:rsidRPr="00941D7C">
              <w:rPr>
                <w:b/>
                <w:i/>
                <w:lang w:val="en-GB"/>
              </w:rPr>
              <w:t>information</w:t>
            </w:r>
            <w:r w:rsidRPr="00941D7C">
              <w:rPr>
                <w:lang w:val="en-GB"/>
              </w:rPr>
              <w:t xml:space="preserve"> set out in this paragraph;</w:t>
            </w:r>
          </w:p>
        </w:tc>
        <w:tc>
          <w:tcPr>
            <w:tcW w:w="4876" w:type="dxa"/>
            <w:hideMark/>
          </w:tcPr>
          <w:p w14:paraId="2B288DE8" w14:textId="5680B0C5" w:rsidR="00EE4038" w:rsidRPr="00941D7C" w:rsidRDefault="00EE4038" w:rsidP="00DD0B81">
            <w:pPr>
              <w:pStyle w:val="Normal6"/>
              <w:rPr>
                <w:szCs w:val="24"/>
                <w:lang w:val="en-GB"/>
              </w:rPr>
            </w:pPr>
            <w:r w:rsidRPr="00941D7C">
              <w:rPr>
                <w:lang w:val="en-GB"/>
              </w:rPr>
              <w:t xml:space="preserve">Where applicable, the information referred to in paragraphs 1 and 2 shall contain information about the undertaking’s own operations and about its chain </w:t>
            </w:r>
            <w:r w:rsidRPr="00941D7C">
              <w:rPr>
                <w:b/>
                <w:i/>
                <w:lang w:val="en-GB"/>
              </w:rPr>
              <w:t>of activities</w:t>
            </w:r>
            <w:r w:rsidRPr="00941D7C">
              <w:rPr>
                <w:lang w:val="en-GB"/>
              </w:rPr>
              <w:t xml:space="preserve">, including its products and services, its business relationships and its supply chain. Member States shall ensure that, for the reporting of sustainability information as required by this Directive, undertakings do not seek to obtain from undertakings in their chain </w:t>
            </w:r>
            <w:r w:rsidRPr="00941D7C">
              <w:rPr>
                <w:b/>
                <w:i/>
                <w:lang w:val="en-GB"/>
              </w:rPr>
              <w:t>of activities</w:t>
            </w:r>
            <w:r w:rsidRPr="00941D7C">
              <w:rPr>
                <w:lang w:val="en-GB"/>
              </w:rPr>
              <w:t xml:space="preserve"> which, on their balance sheet dates, do not exceed the average number of </w:t>
            </w:r>
            <w:r w:rsidRPr="00941D7C">
              <w:rPr>
                <w:b/>
                <w:i/>
                <w:lang w:val="en-GB"/>
              </w:rPr>
              <w:t>3000</w:t>
            </w:r>
            <w:r w:rsidRPr="00941D7C">
              <w:rPr>
                <w:lang w:val="en-GB"/>
              </w:rPr>
              <w:t xml:space="preserve"> employees </w:t>
            </w:r>
            <w:r w:rsidRPr="00941D7C">
              <w:rPr>
                <w:b/>
                <w:i/>
                <w:lang w:val="en-GB"/>
              </w:rPr>
              <w:t>and a net turnover of EUR 450 000 000</w:t>
            </w:r>
            <w:r w:rsidRPr="00941D7C">
              <w:rPr>
                <w:lang w:val="en-GB"/>
              </w:rPr>
              <w:t xml:space="preserve"> during the financial year any information that exceeds the information specified in the standards for voluntary use referred to in Article 29ca, except for additional sustainability information that is commonly shared between undertakings in the sector concerned. Undertakings that report the necessary</w:t>
            </w:r>
            <w:r w:rsidR="00AF782F" w:rsidRPr="00941D7C">
              <w:rPr>
                <w:lang w:val="en-GB"/>
              </w:rPr>
              <w:t xml:space="preserve"> </w:t>
            </w:r>
            <w:r w:rsidR="00AF782F" w:rsidRPr="00941D7C">
              <w:rPr>
                <w:b/>
                <w:i/>
                <w:lang w:val="en-GB"/>
              </w:rPr>
              <w:t>information about their</w:t>
            </w:r>
            <w:r w:rsidRPr="00941D7C">
              <w:rPr>
                <w:lang w:val="en-GB"/>
              </w:rPr>
              <w:t xml:space="preserve"> chain </w:t>
            </w:r>
            <w:r w:rsidRPr="00941D7C">
              <w:rPr>
                <w:b/>
                <w:i/>
                <w:lang w:val="en-GB"/>
              </w:rPr>
              <w:t>of activities</w:t>
            </w:r>
            <w:r w:rsidRPr="00941D7C">
              <w:rPr>
                <w:lang w:val="en-GB"/>
              </w:rPr>
              <w:t xml:space="preserve"> without reporting from undertakings in their chain </w:t>
            </w:r>
            <w:r w:rsidRPr="00941D7C">
              <w:rPr>
                <w:b/>
                <w:i/>
                <w:lang w:val="en-GB"/>
              </w:rPr>
              <w:t>of activities</w:t>
            </w:r>
            <w:r w:rsidRPr="00941D7C">
              <w:rPr>
                <w:lang w:val="en-GB"/>
              </w:rPr>
              <w:t xml:space="preserve"> which, on their balance sheet dates, do not exceed the average number of </w:t>
            </w:r>
            <w:r w:rsidRPr="00941D7C">
              <w:rPr>
                <w:b/>
                <w:i/>
                <w:lang w:val="en-GB"/>
              </w:rPr>
              <w:t>3000</w:t>
            </w:r>
            <w:r w:rsidRPr="00941D7C">
              <w:rPr>
                <w:lang w:val="en-GB"/>
              </w:rPr>
              <w:t xml:space="preserve"> employees </w:t>
            </w:r>
            <w:r w:rsidRPr="00941D7C">
              <w:rPr>
                <w:b/>
                <w:i/>
                <w:lang w:val="en-GB"/>
              </w:rPr>
              <w:t>and a net turnover of EUR 450 000 000</w:t>
            </w:r>
            <w:r w:rsidRPr="00941D7C">
              <w:rPr>
                <w:lang w:val="en-GB"/>
              </w:rPr>
              <w:t xml:space="preserve"> during the financial year any information that exceeds the information specified in the standards for voluntary use referred to in Article 29ca, except for additional sustainability information that is commonly shared between undertakings in the sector concerned, shall be deemed to have complied with the obligation to report </w:t>
            </w:r>
            <w:r w:rsidR="00AF782F" w:rsidRPr="00941D7C">
              <w:rPr>
                <w:b/>
                <w:i/>
                <w:lang w:val="en-GB"/>
              </w:rPr>
              <w:t xml:space="preserve">information about their </w:t>
            </w:r>
            <w:r w:rsidRPr="00941D7C">
              <w:rPr>
                <w:lang w:val="en-GB"/>
              </w:rPr>
              <w:t xml:space="preserve">chain </w:t>
            </w:r>
            <w:r w:rsidRPr="00941D7C">
              <w:rPr>
                <w:b/>
                <w:i/>
                <w:lang w:val="en-GB"/>
              </w:rPr>
              <w:t>of activities</w:t>
            </w:r>
            <w:r w:rsidRPr="00941D7C">
              <w:rPr>
                <w:lang w:val="en-GB"/>
              </w:rPr>
              <w:t xml:space="preserve"> set out in this paragraph;</w:t>
            </w:r>
          </w:p>
        </w:tc>
      </w:tr>
    </w:tbl>
    <w:p w14:paraId="101570B7"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2191E53D" w14:textId="77777777" w:rsidR="00EE4038" w:rsidRPr="00941D7C" w:rsidRDefault="00EE4038" w:rsidP="00EE4038">
      <w:r w:rsidRPr="00941D7C">
        <w:rPr>
          <w:rStyle w:val="HideTWBExt"/>
        </w:rPr>
        <w:t>&lt;/Amend&gt;</w:t>
      </w:r>
    </w:p>
    <w:p w14:paraId="751416F2" w14:textId="220A50E8"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31</w:t>
      </w:r>
      <w:r w:rsidRPr="00941D7C">
        <w:rPr>
          <w:rStyle w:val="HideTWBExt"/>
          <w:lang w:val="en-GB"/>
        </w:rPr>
        <w:t>&lt;/NumAm&gt;</w:t>
      </w:r>
    </w:p>
    <w:p w14:paraId="1EC12E30"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7415AD0B"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2 – paragraph 1 – point 2 – point b – point i a (new)</w:t>
      </w:r>
      <w:r w:rsidRPr="008C7353">
        <w:rPr>
          <w:rStyle w:val="HideTWBExt"/>
          <w:lang w:val="fr-FR"/>
        </w:rPr>
        <w:t>&lt;/Article&gt;</w:t>
      </w:r>
    </w:p>
    <w:p w14:paraId="7E9C7561" w14:textId="77777777" w:rsidR="00EE4038" w:rsidRPr="008C7353" w:rsidRDefault="00EE4038" w:rsidP="00EE4038">
      <w:pPr>
        <w:keepNext/>
        <w:rPr>
          <w:lang w:val="fr-FR"/>
        </w:rPr>
      </w:pPr>
      <w:r w:rsidRPr="008C7353">
        <w:rPr>
          <w:rStyle w:val="HideTWBExt"/>
          <w:lang w:val="fr-FR"/>
        </w:rPr>
        <w:t>&lt;DocAmend2&gt;</w:t>
      </w:r>
      <w:r w:rsidRPr="008C7353">
        <w:rPr>
          <w:lang w:val="fr-FR"/>
        </w:rPr>
        <w:t>Directive 2013/34/EU</w:t>
      </w:r>
      <w:r w:rsidRPr="008C7353">
        <w:rPr>
          <w:rStyle w:val="HideTWBExt"/>
          <w:lang w:val="fr-FR"/>
        </w:rPr>
        <w:t>&lt;/DocAmend2&gt;</w:t>
      </w:r>
    </w:p>
    <w:p w14:paraId="53500A24" w14:textId="77777777" w:rsidR="00EE4038" w:rsidRPr="00941D7C" w:rsidRDefault="00EE4038" w:rsidP="00EE4038">
      <w:r w:rsidRPr="00941D7C">
        <w:rPr>
          <w:rStyle w:val="HideTWBExt"/>
        </w:rPr>
        <w:t>&lt;Article2&gt;</w:t>
      </w:r>
      <w:r w:rsidRPr="00941D7C">
        <w:t>Article 19a – paragraph 3– subparagraph 2</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1D9A64E8" w14:textId="77777777" w:rsidTr="00EE4038">
        <w:trPr>
          <w:jc w:val="center"/>
        </w:trPr>
        <w:tc>
          <w:tcPr>
            <w:tcW w:w="9752" w:type="dxa"/>
            <w:gridSpan w:val="2"/>
          </w:tcPr>
          <w:p w14:paraId="40A1E351" w14:textId="77777777" w:rsidR="00EE4038" w:rsidRPr="00941D7C" w:rsidRDefault="00EE4038">
            <w:pPr>
              <w:keepNext/>
            </w:pPr>
          </w:p>
        </w:tc>
      </w:tr>
      <w:tr w:rsidR="00EE4038" w:rsidRPr="00941D7C" w14:paraId="74F6675C" w14:textId="77777777" w:rsidTr="00EE4038">
        <w:trPr>
          <w:jc w:val="center"/>
        </w:trPr>
        <w:tc>
          <w:tcPr>
            <w:tcW w:w="4876" w:type="dxa"/>
            <w:hideMark/>
          </w:tcPr>
          <w:p w14:paraId="471DE0E3" w14:textId="77777777" w:rsidR="00EE4038" w:rsidRPr="00941D7C" w:rsidRDefault="00EE4038">
            <w:pPr>
              <w:pStyle w:val="ColumnHeading"/>
              <w:keepNext/>
              <w:rPr>
                <w:lang w:val="en-GB"/>
              </w:rPr>
            </w:pPr>
            <w:r w:rsidRPr="00941D7C">
              <w:rPr>
                <w:lang w:val="en-GB"/>
              </w:rPr>
              <w:t>Present text</w:t>
            </w:r>
          </w:p>
        </w:tc>
        <w:tc>
          <w:tcPr>
            <w:tcW w:w="4876" w:type="dxa"/>
            <w:hideMark/>
          </w:tcPr>
          <w:p w14:paraId="60493EAD" w14:textId="77777777" w:rsidR="00EE4038" w:rsidRPr="00941D7C" w:rsidRDefault="00EE4038">
            <w:pPr>
              <w:pStyle w:val="ColumnHeading"/>
              <w:keepNext/>
              <w:rPr>
                <w:lang w:val="en-GB"/>
              </w:rPr>
            </w:pPr>
            <w:r w:rsidRPr="00941D7C">
              <w:rPr>
                <w:lang w:val="en-GB"/>
              </w:rPr>
              <w:t>Amendment</w:t>
            </w:r>
          </w:p>
        </w:tc>
      </w:tr>
      <w:tr w:rsidR="00EE4038" w:rsidRPr="00941D7C" w14:paraId="161B82F7" w14:textId="77777777" w:rsidTr="00EE4038">
        <w:trPr>
          <w:jc w:val="center"/>
        </w:trPr>
        <w:tc>
          <w:tcPr>
            <w:tcW w:w="4876" w:type="dxa"/>
          </w:tcPr>
          <w:p w14:paraId="2BE81F92" w14:textId="77777777" w:rsidR="00EE4038" w:rsidRPr="00941D7C" w:rsidRDefault="00EE4038">
            <w:pPr>
              <w:pStyle w:val="Normal6"/>
              <w:rPr>
                <w:lang w:val="en-GB"/>
              </w:rPr>
            </w:pPr>
          </w:p>
        </w:tc>
        <w:tc>
          <w:tcPr>
            <w:tcW w:w="4876" w:type="dxa"/>
            <w:hideMark/>
          </w:tcPr>
          <w:p w14:paraId="030FF44B" w14:textId="77777777" w:rsidR="00EE4038" w:rsidRPr="00941D7C" w:rsidRDefault="00EE4038">
            <w:pPr>
              <w:pStyle w:val="Normal6"/>
              <w:rPr>
                <w:szCs w:val="24"/>
                <w:lang w:val="en-GB"/>
              </w:rPr>
            </w:pPr>
            <w:r w:rsidRPr="00941D7C">
              <w:rPr>
                <w:b/>
                <w:i/>
                <w:lang w:val="en-GB"/>
              </w:rPr>
              <w:t>(</w:t>
            </w:r>
            <w:proofErr w:type="spellStart"/>
            <w:r w:rsidRPr="00941D7C">
              <w:rPr>
                <w:b/>
                <w:i/>
                <w:lang w:val="en-GB"/>
              </w:rPr>
              <w:t>ia</w:t>
            </w:r>
            <w:proofErr w:type="spellEnd"/>
            <w:r w:rsidRPr="00941D7C">
              <w:rPr>
                <w:b/>
                <w:i/>
                <w:lang w:val="en-GB"/>
              </w:rPr>
              <w:t>)</w:t>
            </w:r>
            <w:r w:rsidRPr="00941D7C">
              <w:rPr>
                <w:b/>
                <w:i/>
                <w:lang w:val="en-GB"/>
              </w:rPr>
              <w:tab/>
              <w:t>the second subparagraph is replaced by the following:</w:t>
            </w:r>
          </w:p>
        </w:tc>
      </w:tr>
      <w:tr w:rsidR="00EE4038" w:rsidRPr="00941D7C" w14:paraId="072EE375" w14:textId="77777777" w:rsidTr="00EE4038">
        <w:trPr>
          <w:jc w:val="center"/>
        </w:trPr>
        <w:tc>
          <w:tcPr>
            <w:tcW w:w="4876" w:type="dxa"/>
            <w:hideMark/>
          </w:tcPr>
          <w:p w14:paraId="387C0D88" w14:textId="10A4F359" w:rsidR="00EE4038" w:rsidRPr="00941D7C" w:rsidRDefault="00EE4038" w:rsidP="00DD0B81">
            <w:pPr>
              <w:pStyle w:val="Normal6"/>
              <w:rPr>
                <w:lang w:val="en-GB"/>
              </w:rPr>
            </w:pPr>
            <w:r w:rsidRPr="00941D7C">
              <w:rPr>
                <w:b/>
                <w:i/>
                <w:lang w:val="en-GB"/>
              </w:rPr>
              <w:t>For the first three years of the application of the measures to be adopted by the Member States in accordance with Article 5(2) of Directive (EU) 2022/2464 of the European Parliament and of the Council</w:t>
            </w:r>
            <w:r w:rsidR="00086A52" w:rsidRPr="00941D7C">
              <w:rPr>
                <w:b/>
                <w:i/>
                <w:lang w:val="en-GB"/>
              </w:rPr>
              <w:t>*</w:t>
            </w:r>
            <w:r w:rsidRPr="00941D7C">
              <w:rPr>
                <w:b/>
                <w:i/>
                <w:lang w:val="en-GB"/>
              </w:rPr>
              <w:t xml:space="preserve">, and </w:t>
            </w:r>
            <w:r w:rsidRPr="00941D7C">
              <w:rPr>
                <w:lang w:val="en-GB"/>
              </w:rPr>
              <w:t>in the event that not all the necessary information regarding its</w:t>
            </w:r>
            <w:r w:rsidRPr="00941D7C">
              <w:rPr>
                <w:b/>
                <w:i/>
                <w:lang w:val="en-GB"/>
              </w:rPr>
              <w:t xml:space="preserve"> value </w:t>
            </w:r>
            <w:r w:rsidRPr="00941D7C">
              <w:rPr>
                <w:lang w:val="en-GB"/>
              </w:rPr>
              <w:t xml:space="preserve">chain is available, the undertaking shall explain the efforts made to obtain the necessary information about its </w:t>
            </w:r>
            <w:r w:rsidRPr="00941D7C">
              <w:rPr>
                <w:b/>
                <w:i/>
                <w:lang w:val="en-GB"/>
              </w:rPr>
              <w:t>value</w:t>
            </w:r>
            <w:r w:rsidRPr="00941D7C">
              <w:rPr>
                <w:lang w:val="en-GB"/>
              </w:rPr>
              <w:t xml:space="preserve"> chain, the reasons why not all of the necessary information could be obtained, and its plans to obtain the necessary information in the future.</w:t>
            </w:r>
          </w:p>
        </w:tc>
        <w:tc>
          <w:tcPr>
            <w:tcW w:w="4876" w:type="dxa"/>
            <w:hideMark/>
          </w:tcPr>
          <w:p w14:paraId="0A1FF60C" w14:textId="77777777" w:rsidR="00EE4038" w:rsidRPr="00941D7C" w:rsidRDefault="00EE4038">
            <w:pPr>
              <w:pStyle w:val="Normal6"/>
              <w:rPr>
                <w:szCs w:val="24"/>
                <w:lang w:val="en-GB"/>
              </w:rPr>
            </w:pPr>
            <w:r w:rsidRPr="00941D7C">
              <w:rPr>
                <w:b/>
                <w:i/>
                <w:lang w:val="en-GB"/>
              </w:rPr>
              <w:t>‘</w:t>
            </w:r>
            <w:r w:rsidRPr="00941D7C">
              <w:rPr>
                <w:lang w:val="en-GB"/>
              </w:rPr>
              <w:t>In the event that not all the necessary information regarding its chain</w:t>
            </w:r>
            <w:r w:rsidRPr="00941D7C">
              <w:rPr>
                <w:b/>
                <w:i/>
                <w:lang w:val="en-GB"/>
              </w:rPr>
              <w:t xml:space="preserve"> of activities </w:t>
            </w:r>
            <w:r w:rsidRPr="00941D7C">
              <w:rPr>
                <w:lang w:val="en-GB"/>
              </w:rPr>
              <w:t>is available, the undertaking</w:t>
            </w:r>
            <w:r w:rsidRPr="00941D7C">
              <w:rPr>
                <w:b/>
                <w:i/>
                <w:lang w:val="en-GB"/>
              </w:rPr>
              <w:t xml:space="preserve"> </w:t>
            </w:r>
            <w:r w:rsidRPr="00941D7C">
              <w:rPr>
                <w:lang w:val="en-GB"/>
              </w:rPr>
              <w:t>shall explain the efforts made to obtain the necessary information about its</w:t>
            </w:r>
            <w:r w:rsidRPr="00941D7C">
              <w:rPr>
                <w:b/>
                <w:i/>
                <w:lang w:val="en-GB"/>
              </w:rPr>
              <w:t xml:space="preserve"> </w:t>
            </w:r>
            <w:r w:rsidRPr="00941D7C">
              <w:rPr>
                <w:lang w:val="en-GB"/>
              </w:rPr>
              <w:t>chain</w:t>
            </w:r>
            <w:r w:rsidRPr="00941D7C">
              <w:rPr>
                <w:b/>
                <w:i/>
                <w:lang w:val="en-GB"/>
              </w:rPr>
              <w:t xml:space="preserve"> of activities</w:t>
            </w:r>
            <w:r w:rsidRPr="00941D7C">
              <w:rPr>
                <w:lang w:val="en-GB"/>
              </w:rPr>
              <w:t>, the reasons why not all of the necessary information could be obtained, and its plans to obtain the necessary information in the future.’;</w:t>
            </w:r>
          </w:p>
        </w:tc>
      </w:tr>
      <w:tr w:rsidR="00086A52" w:rsidRPr="00941D7C" w14:paraId="6E243FFC" w14:textId="77777777" w:rsidTr="00EE4038">
        <w:trPr>
          <w:jc w:val="center"/>
        </w:trPr>
        <w:tc>
          <w:tcPr>
            <w:tcW w:w="4876" w:type="dxa"/>
          </w:tcPr>
          <w:p w14:paraId="2CD8C2B7" w14:textId="77777777" w:rsidR="00086A52" w:rsidRPr="00941D7C" w:rsidRDefault="00086A52">
            <w:pPr>
              <w:pStyle w:val="Normal6"/>
              <w:rPr>
                <w:b/>
                <w:i/>
                <w:lang w:val="en-GB"/>
              </w:rPr>
            </w:pPr>
            <w:r w:rsidRPr="00941D7C">
              <w:rPr>
                <w:b/>
                <w:i/>
                <w:lang w:val="en-GB"/>
              </w:rPr>
              <w:t>________________</w:t>
            </w:r>
          </w:p>
        </w:tc>
        <w:tc>
          <w:tcPr>
            <w:tcW w:w="4876" w:type="dxa"/>
          </w:tcPr>
          <w:p w14:paraId="12B2BDB3" w14:textId="77777777" w:rsidR="00086A52" w:rsidRPr="00941D7C" w:rsidRDefault="00086A52">
            <w:pPr>
              <w:pStyle w:val="Normal6"/>
              <w:rPr>
                <w:b/>
                <w:i/>
                <w:lang w:val="en-GB"/>
              </w:rPr>
            </w:pPr>
          </w:p>
        </w:tc>
      </w:tr>
      <w:tr w:rsidR="00086A52" w:rsidRPr="00941D7C" w14:paraId="4AEC9D8B" w14:textId="77777777" w:rsidTr="00EE4038">
        <w:trPr>
          <w:jc w:val="center"/>
        </w:trPr>
        <w:tc>
          <w:tcPr>
            <w:tcW w:w="4876" w:type="dxa"/>
          </w:tcPr>
          <w:p w14:paraId="7FB79D14" w14:textId="77777777" w:rsidR="00086A52" w:rsidRPr="00941D7C" w:rsidRDefault="00086A52">
            <w:pPr>
              <w:pStyle w:val="Normal6"/>
              <w:rPr>
                <w:b/>
                <w:i/>
                <w:lang w:val="en-GB"/>
              </w:rPr>
            </w:pPr>
            <w:r w:rsidRPr="00941D7C">
              <w:rPr>
                <w:b/>
                <w:i/>
                <w:lang w:val="en-GB"/>
              </w:rPr>
              <w:t>* Directive (EU) 2022/2464 of the European Parliament and of the Council of 14 December 2022 amending Regulation (EU) No 537/2014, Directive 2004/109/EC, Directive 2006/43/EC and Directive 2013/34/EU, as regards corporate sustainability reporting (OL L 322, 16.12.2022, p. 15).</w:t>
            </w:r>
          </w:p>
        </w:tc>
        <w:tc>
          <w:tcPr>
            <w:tcW w:w="4876" w:type="dxa"/>
          </w:tcPr>
          <w:p w14:paraId="42121641" w14:textId="77777777" w:rsidR="00086A52" w:rsidRPr="00941D7C" w:rsidRDefault="00086A52">
            <w:pPr>
              <w:pStyle w:val="Normal6"/>
              <w:rPr>
                <w:b/>
                <w:i/>
                <w:lang w:val="en-GB"/>
              </w:rPr>
            </w:pPr>
          </w:p>
        </w:tc>
      </w:tr>
    </w:tbl>
    <w:p w14:paraId="7264C6D8"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1F2D3525" w14:textId="77777777" w:rsidR="00EE4038" w:rsidRPr="00941D7C" w:rsidRDefault="00EE4038" w:rsidP="00EE4038">
      <w:r w:rsidRPr="00941D7C">
        <w:rPr>
          <w:rStyle w:val="HideTWBExt"/>
        </w:rPr>
        <w:t>&lt;/Amend&gt;</w:t>
      </w:r>
    </w:p>
    <w:p w14:paraId="245C9CD7" w14:textId="23184CB1"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32</w:t>
      </w:r>
      <w:r w:rsidRPr="00941D7C">
        <w:rPr>
          <w:rStyle w:val="HideTWBExt"/>
          <w:lang w:val="en-GB"/>
        </w:rPr>
        <w:t>&lt;/NumAm&gt;</w:t>
      </w:r>
    </w:p>
    <w:p w14:paraId="0FF9BA20"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7A66252E" w14:textId="7642D97C" w:rsidR="00EE4038" w:rsidRPr="008C7353" w:rsidRDefault="00EE4038" w:rsidP="00EE4038">
      <w:pPr>
        <w:pStyle w:val="NormalBold"/>
        <w:rPr>
          <w:lang w:val="fr-FR"/>
        </w:rPr>
      </w:pPr>
      <w:r w:rsidRPr="008C7353">
        <w:rPr>
          <w:rStyle w:val="HideTWBExt"/>
          <w:lang w:val="fr-FR"/>
        </w:rPr>
        <w:t>&lt;Article&gt;</w:t>
      </w:r>
      <w:r w:rsidRPr="008C7353">
        <w:rPr>
          <w:lang w:val="fr-FR"/>
        </w:rPr>
        <w:t xml:space="preserve">Article 2 – paragraph 1 – point 2 – point b – point ii </w:t>
      </w:r>
      <w:r w:rsidRPr="008C7353">
        <w:rPr>
          <w:rStyle w:val="HideTWBExt"/>
          <w:lang w:val="fr-FR"/>
        </w:rPr>
        <w:t>&lt;/Article&gt;</w:t>
      </w:r>
    </w:p>
    <w:p w14:paraId="3BAD4175" w14:textId="77777777" w:rsidR="00EE4038" w:rsidRPr="00941D7C" w:rsidRDefault="00EE4038" w:rsidP="00EE4038">
      <w:pPr>
        <w:keepNext/>
      </w:pPr>
      <w:r w:rsidRPr="00941D7C">
        <w:rPr>
          <w:rStyle w:val="HideTWBExt"/>
        </w:rPr>
        <w:t>&lt;DocAmend2&gt;</w:t>
      </w:r>
      <w:r w:rsidRPr="00941D7C">
        <w:t>Directive 2013/34/EU</w:t>
      </w:r>
      <w:r w:rsidRPr="00941D7C">
        <w:rPr>
          <w:rStyle w:val="HideTWBExt"/>
        </w:rPr>
        <w:t>&lt;/DocAmend2&gt;</w:t>
      </w:r>
    </w:p>
    <w:p w14:paraId="00B50724" w14:textId="77777777" w:rsidR="00EE4038" w:rsidRPr="00941D7C" w:rsidRDefault="00EE4038" w:rsidP="00EE4038">
      <w:r w:rsidRPr="00941D7C">
        <w:rPr>
          <w:rStyle w:val="HideTWBExt"/>
        </w:rPr>
        <w:t>&lt;Article2&gt;</w:t>
      </w:r>
      <w:r w:rsidRPr="00941D7C">
        <w:t>Article 19a – paragraph 3 – subparagraph 4</w:t>
      </w:r>
      <w:r w:rsidR="00086A52" w:rsidRPr="00941D7C">
        <w:t xml:space="preserve"> </w:t>
      </w:r>
      <w:r w:rsidRPr="00941D7C">
        <w:t>a (new)</w:t>
      </w:r>
      <w:r w:rsidRPr="00941D7C">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0BB8059A" w14:textId="77777777" w:rsidTr="007C3CBA">
        <w:trPr>
          <w:jc w:val="center"/>
        </w:trPr>
        <w:tc>
          <w:tcPr>
            <w:tcW w:w="9752" w:type="dxa"/>
            <w:gridSpan w:val="2"/>
          </w:tcPr>
          <w:p w14:paraId="3BDF9731" w14:textId="77777777" w:rsidR="00EE4038" w:rsidRPr="00941D7C" w:rsidRDefault="00EE4038">
            <w:pPr>
              <w:keepNext/>
            </w:pPr>
          </w:p>
        </w:tc>
      </w:tr>
      <w:tr w:rsidR="00EE4038" w:rsidRPr="00941D7C" w14:paraId="27E17104" w14:textId="77777777" w:rsidTr="007C3CBA">
        <w:trPr>
          <w:jc w:val="center"/>
        </w:trPr>
        <w:tc>
          <w:tcPr>
            <w:tcW w:w="4876" w:type="dxa"/>
            <w:hideMark/>
          </w:tcPr>
          <w:p w14:paraId="2DBB98DF"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10E47822" w14:textId="77777777" w:rsidR="00EE4038" w:rsidRPr="00941D7C" w:rsidRDefault="00EE4038">
            <w:pPr>
              <w:pStyle w:val="ColumnHeading"/>
              <w:keepNext/>
              <w:rPr>
                <w:lang w:val="en-GB"/>
              </w:rPr>
            </w:pPr>
            <w:r w:rsidRPr="00941D7C">
              <w:rPr>
                <w:lang w:val="en-GB"/>
              </w:rPr>
              <w:t>Amendment</w:t>
            </w:r>
          </w:p>
        </w:tc>
      </w:tr>
      <w:tr w:rsidR="00EE4038" w:rsidRPr="00941D7C" w14:paraId="1D5A2323" w14:textId="77777777" w:rsidTr="007C3CBA">
        <w:trPr>
          <w:jc w:val="center"/>
        </w:trPr>
        <w:tc>
          <w:tcPr>
            <w:tcW w:w="4876" w:type="dxa"/>
          </w:tcPr>
          <w:p w14:paraId="31952BB8" w14:textId="77777777" w:rsidR="00EE4038" w:rsidRPr="00941D7C" w:rsidRDefault="00EE4038">
            <w:pPr>
              <w:pStyle w:val="Normal6"/>
              <w:rPr>
                <w:lang w:val="en-GB"/>
              </w:rPr>
            </w:pPr>
          </w:p>
        </w:tc>
        <w:tc>
          <w:tcPr>
            <w:tcW w:w="4876" w:type="dxa"/>
            <w:hideMark/>
          </w:tcPr>
          <w:p w14:paraId="42BB0FCE" w14:textId="7071C3A1" w:rsidR="00EE4038" w:rsidRPr="00941D7C" w:rsidRDefault="00EE4038" w:rsidP="00775E11">
            <w:pPr>
              <w:pStyle w:val="Normal6"/>
              <w:rPr>
                <w:szCs w:val="24"/>
                <w:lang w:val="en-GB"/>
              </w:rPr>
            </w:pPr>
            <w:r w:rsidRPr="00941D7C">
              <w:rPr>
                <w:b/>
                <w:i/>
                <w:lang w:val="en-GB"/>
              </w:rPr>
              <w:t>‘</w:t>
            </w:r>
            <w:r w:rsidR="00DD0B81" w:rsidRPr="00941D7C">
              <w:rPr>
                <w:b/>
                <w:i/>
                <w:lang w:val="en-GB"/>
              </w:rPr>
              <w:t>The reporting obligations set out in this Article are without prejudice to Directive (EU) 2016/943</w:t>
            </w:r>
            <w:r w:rsidR="00775E11" w:rsidRPr="00941D7C">
              <w:rPr>
                <w:b/>
                <w:i/>
                <w:lang w:val="en-GB"/>
              </w:rPr>
              <w:t xml:space="preserve"> of the European Parliament and of the Council*</w:t>
            </w:r>
            <w:r w:rsidR="00DD0B81" w:rsidRPr="00941D7C">
              <w:rPr>
                <w:b/>
                <w:i/>
                <w:lang w:val="en-GB"/>
              </w:rPr>
              <w:t>. Therefore, u</w:t>
            </w:r>
            <w:r w:rsidRPr="00941D7C">
              <w:rPr>
                <w:b/>
                <w:i/>
                <w:lang w:val="en-GB"/>
              </w:rPr>
              <w:t xml:space="preserve">ndertakings shall not be required to disclose </w:t>
            </w:r>
            <w:r w:rsidR="00DD0B81" w:rsidRPr="00941D7C">
              <w:rPr>
                <w:b/>
                <w:i/>
                <w:lang w:val="en-GB"/>
              </w:rPr>
              <w:t xml:space="preserve">information on </w:t>
            </w:r>
            <w:r w:rsidRPr="00941D7C">
              <w:rPr>
                <w:b/>
                <w:i/>
                <w:lang w:val="en-GB"/>
              </w:rPr>
              <w:t>intellectual capital, intellectual property</w:t>
            </w:r>
            <w:r w:rsidR="00DD0B81" w:rsidRPr="00941D7C">
              <w:rPr>
                <w:b/>
                <w:i/>
                <w:lang w:val="en-GB"/>
              </w:rPr>
              <w:t xml:space="preserve"> or</w:t>
            </w:r>
            <w:r w:rsidRPr="00941D7C">
              <w:rPr>
                <w:b/>
                <w:i/>
                <w:lang w:val="en-GB"/>
              </w:rPr>
              <w:t xml:space="preserve"> know</w:t>
            </w:r>
            <w:r w:rsidR="00DD0B81" w:rsidRPr="00941D7C">
              <w:rPr>
                <w:b/>
                <w:i/>
                <w:lang w:val="en-GB"/>
              </w:rPr>
              <w:t xml:space="preserve"> </w:t>
            </w:r>
            <w:r w:rsidRPr="00941D7C">
              <w:rPr>
                <w:b/>
                <w:i/>
                <w:lang w:val="en-GB"/>
              </w:rPr>
              <w:t xml:space="preserve">how, business information </w:t>
            </w:r>
            <w:r w:rsidR="00DD0B81" w:rsidRPr="00941D7C">
              <w:rPr>
                <w:b/>
                <w:i/>
                <w:lang w:val="en-GB"/>
              </w:rPr>
              <w:t xml:space="preserve">or </w:t>
            </w:r>
            <w:r w:rsidRPr="00941D7C">
              <w:rPr>
                <w:b/>
                <w:i/>
                <w:lang w:val="en-GB"/>
              </w:rPr>
              <w:t xml:space="preserve">technological information </w:t>
            </w:r>
            <w:r w:rsidR="00DD0B81" w:rsidRPr="00941D7C">
              <w:rPr>
                <w:b/>
                <w:i/>
                <w:lang w:val="en-GB"/>
              </w:rPr>
              <w:t>which constitutes</w:t>
            </w:r>
            <w:r w:rsidRPr="00941D7C">
              <w:rPr>
                <w:b/>
                <w:i/>
                <w:lang w:val="en-GB"/>
              </w:rPr>
              <w:t xml:space="preserve"> trade secrets as defined in </w:t>
            </w:r>
            <w:r w:rsidR="00DD0B81" w:rsidRPr="00941D7C">
              <w:rPr>
                <w:b/>
                <w:i/>
                <w:lang w:val="en-GB"/>
              </w:rPr>
              <w:t xml:space="preserve">Article 2, point (1), of </w:t>
            </w:r>
            <w:r w:rsidRPr="00941D7C">
              <w:rPr>
                <w:b/>
                <w:i/>
                <w:lang w:val="en-GB"/>
              </w:rPr>
              <w:t>Directive (EU) 2016/943.’</w:t>
            </w:r>
            <w:r w:rsidR="00DD0B81" w:rsidRPr="00941D7C">
              <w:rPr>
                <w:b/>
                <w:i/>
                <w:lang w:val="en-GB"/>
              </w:rPr>
              <w:t>;</w:t>
            </w:r>
          </w:p>
        </w:tc>
      </w:tr>
      <w:tr w:rsidR="00DD0B81" w:rsidRPr="00941D7C" w14:paraId="001E7986" w14:textId="77777777" w:rsidTr="004D7AB7">
        <w:trPr>
          <w:jc w:val="center"/>
        </w:trPr>
        <w:tc>
          <w:tcPr>
            <w:tcW w:w="4876" w:type="dxa"/>
          </w:tcPr>
          <w:p w14:paraId="2E130015" w14:textId="77777777" w:rsidR="00DD0B81" w:rsidRPr="00941D7C" w:rsidRDefault="00DD0B81">
            <w:pPr>
              <w:pStyle w:val="Normal6"/>
              <w:rPr>
                <w:lang w:val="en-GB"/>
              </w:rPr>
            </w:pPr>
          </w:p>
        </w:tc>
        <w:tc>
          <w:tcPr>
            <w:tcW w:w="4876" w:type="dxa"/>
          </w:tcPr>
          <w:p w14:paraId="29F6E791" w14:textId="388958DC" w:rsidR="00DD0B81" w:rsidRPr="00941D7C" w:rsidRDefault="00DD0B81" w:rsidP="00DD0B81">
            <w:pPr>
              <w:pStyle w:val="Normal6"/>
              <w:rPr>
                <w:b/>
                <w:i/>
                <w:lang w:val="en-GB"/>
              </w:rPr>
            </w:pPr>
            <w:r w:rsidRPr="00941D7C">
              <w:rPr>
                <w:b/>
                <w:i/>
                <w:lang w:val="en-GB"/>
              </w:rPr>
              <w:t>__________________</w:t>
            </w:r>
          </w:p>
        </w:tc>
      </w:tr>
      <w:tr w:rsidR="00DD0B81" w:rsidRPr="00941D7C" w14:paraId="4EBFFF8B" w14:textId="77777777" w:rsidTr="004D7AB7">
        <w:trPr>
          <w:jc w:val="center"/>
        </w:trPr>
        <w:tc>
          <w:tcPr>
            <w:tcW w:w="4876" w:type="dxa"/>
          </w:tcPr>
          <w:p w14:paraId="38DB6C22" w14:textId="77777777" w:rsidR="00DD0B81" w:rsidRPr="00941D7C" w:rsidRDefault="00DD0B81" w:rsidP="00DD0B81">
            <w:pPr>
              <w:pStyle w:val="Normal6"/>
              <w:rPr>
                <w:lang w:val="en-GB"/>
              </w:rPr>
            </w:pPr>
          </w:p>
        </w:tc>
        <w:tc>
          <w:tcPr>
            <w:tcW w:w="4876" w:type="dxa"/>
          </w:tcPr>
          <w:p w14:paraId="54D01B9C" w14:textId="73B755E3" w:rsidR="00DD0B81" w:rsidRPr="00941D7C" w:rsidRDefault="00775E11" w:rsidP="00DD0B81">
            <w:pPr>
              <w:pStyle w:val="Normal6"/>
              <w:rPr>
                <w:b/>
                <w:i/>
                <w:lang w:val="en-GB"/>
              </w:rPr>
            </w:pPr>
            <w:r w:rsidRPr="00941D7C">
              <w:rPr>
                <w:b/>
                <w:i/>
                <w:lang w:val="en-GB"/>
              </w:rPr>
              <w:t>*</w:t>
            </w:r>
            <w:r w:rsidR="00DD0B81" w:rsidRPr="00941D7C">
              <w:rPr>
                <w:b/>
                <w:i/>
                <w:lang w:val="en-GB"/>
              </w:rPr>
              <w:tab/>
            </w:r>
            <w:r w:rsidR="00DD0B81" w:rsidRPr="00941D7C">
              <w:rPr>
                <w:b/>
                <w:i/>
                <w:szCs w:val="24"/>
                <w:lang w:val="en-GB"/>
              </w:rPr>
              <w:t>Directive (EU) 2016/943 of the European Parliament and of the Council of 8 June 2016 on the protection of undisclosed know-how and business information (trade secrets) against their unlawful acquisition, use and disclosure (</w:t>
            </w:r>
            <w:r w:rsidR="00DD0B81" w:rsidRPr="00941D7C">
              <w:rPr>
                <w:rStyle w:val="Hervorhebung"/>
                <w:b/>
                <w:szCs w:val="24"/>
                <w:lang w:val="en-GB"/>
              </w:rPr>
              <w:t>OJ L 157, 15.6.2016, p. 1</w:t>
            </w:r>
            <w:r w:rsidR="00DD0B81" w:rsidRPr="00941D7C">
              <w:rPr>
                <w:rStyle w:val="Hervorhebung"/>
                <w:b/>
                <w:lang w:val="en-GB"/>
              </w:rPr>
              <w:t>, ELI: http://data.europa.eu/eli/dir/2016/943/oj</w:t>
            </w:r>
            <w:r w:rsidR="00DD0B81" w:rsidRPr="00941D7C">
              <w:rPr>
                <w:b/>
                <w:i/>
                <w:szCs w:val="24"/>
                <w:lang w:val="en-GB"/>
              </w:rPr>
              <w:t>).</w:t>
            </w:r>
          </w:p>
        </w:tc>
      </w:tr>
    </w:tbl>
    <w:p w14:paraId="2602AC44"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4F97692B" w14:textId="77777777" w:rsidR="00EE4038" w:rsidRPr="00941D7C" w:rsidRDefault="00EE4038" w:rsidP="00EE4038">
      <w:r w:rsidRPr="00941D7C">
        <w:rPr>
          <w:rStyle w:val="HideTWBExt"/>
        </w:rPr>
        <w:t>&lt;/Amend&gt;</w:t>
      </w:r>
    </w:p>
    <w:p w14:paraId="7EAA86DC" w14:textId="576AE016"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33</w:t>
      </w:r>
      <w:r w:rsidRPr="00941D7C">
        <w:rPr>
          <w:rStyle w:val="HideTWBExt"/>
          <w:lang w:val="en-GB"/>
        </w:rPr>
        <w:t>&lt;/NumAm&gt;</w:t>
      </w:r>
    </w:p>
    <w:p w14:paraId="6F04A9DE"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20F5A4E8"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2 – paragraph 1 – point 2 – point c a (new)</w:t>
      </w:r>
      <w:r w:rsidRPr="008C7353">
        <w:rPr>
          <w:rStyle w:val="HideTWBExt"/>
          <w:lang w:val="fr-FR"/>
        </w:rPr>
        <w:t>&lt;/Article&gt;</w:t>
      </w:r>
    </w:p>
    <w:p w14:paraId="0AC42A7B" w14:textId="77777777" w:rsidR="00EE4038" w:rsidRPr="00941D7C" w:rsidRDefault="00EE4038" w:rsidP="00EE4038">
      <w:pPr>
        <w:keepNext/>
      </w:pPr>
      <w:r w:rsidRPr="00941D7C">
        <w:rPr>
          <w:rStyle w:val="HideTWBExt"/>
        </w:rPr>
        <w:t>&lt;DocAmend2&gt;</w:t>
      </w:r>
      <w:r w:rsidRPr="00941D7C">
        <w:t>Directive 2013/34/EU</w:t>
      </w:r>
      <w:r w:rsidRPr="00941D7C">
        <w:rPr>
          <w:rStyle w:val="HideTWBExt"/>
        </w:rPr>
        <w:t>&lt;/DocAmend2&gt;</w:t>
      </w:r>
    </w:p>
    <w:p w14:paraId="229E6E20" w14:textId="77777777" w:rsidR="00EE4038" w:rsidRPr="00941D7C" w:rsidRDefault="00EE4038" w:rsidP="00EE4038">
      <w:r w:rsidRPr="00941D7C">
        <w:rPr>
          <w:rStyle w:val="HideTWBExt"/>
        </w:rPr>
        <w:t>&lt;Article2&gt;</w:t>
      </w:r>
      <w:r w:rsidRPr="00941D7C">
        <w:t>Article 19a – paragraph 10</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464F7986" w14:textId="77777777" w:rsidTr="00EE4038">
        <w:trPr>
          <w:jc w:val="center"/>
        </w:trPr>
        <w:tc>
          <w:tcPr>
            <w:tcW w:w="9752" w:type="dxa"/>
            <w:gridSpan w:val="2"/>
          </w:tcPr>
          <w:p w14:paraId="32F3995E" w14:textId="77777777" w:rsidR="00EE4038" w:rsidRPr="00941D7C" w:rsidRDefault="00EE4038">
            <w:pPr>
              <w:keepNext/>
            </w:pPr>
          </w:p>
        </w:tc>
      </w:tr>
      <w:tr w:rsidR="00EE4038" w:rsidRPr="00941D7C" w14:paraId="558B8D84" w14:textId="77777777" w:rsidTr="00EE4038">
        <w:trPr>
          <w:jc w:val="center"/>
        </w:trPr>
        <w:tc>
          <w:tcPr>
            <w:tcW w:w="4876" w:type="dxa"/>
            <w:hideMark/>
          </w:tcPr>
          <w:p w14:paraId="71F5E35E" w14:textId="77777777" w:rsidR="00EE4038" w:rsidRPr="00941D7C" w:rsidRDefault="00EE4038">
            <w:pPr>
              <w:pStyle w:val="ColumnHeading"/>
              <w:keepNext/>
              <w:rPr>
                <w:lang w:val="en-GB"/>
              </w:rPr>
            </w:pPr>
            <w:r w:rsidRPr="00941D7C">
              <w:rPr>
                <w:lang w:val="en-GB"/>
              </w:rPr>
              <w:t>Present text</w:t>
            </w:r>
          </w:p>
        </w:tc>
        <w:tc>
          <w:tcPr>
            <w:tcW w:w="4876" w:type="dxa"/>
            <w:hideMark/>
          </w:tcPr>
          <w:p w14:paraId="01207740" w14:textId="77777777" w:rsidR="00EE4038" w:rsidRPr="00941D7C" w:rsidRDefault="00EE4038">
            <w:pPr>
              <w:pStyle w:val="ColumnHeading"/>
              <w:keepNext/>
              <w:rPr>
                <w:lang w:val="en-GB"/>
              </w:rPr>
            </w:pPr>
            <w:r w:rsidRPr="00941D7C">
              <w:rPr>
                <w:lang w:val="en-GB"/>
              </w:rPr>
              <w:t>Amendment</w:t>
            </w:r>
          </w:p>
        </w:tc>
      </w:tr>
      <w:tr w:rsidR="00EE4038" w:rsidRPr="00941D7C" w14:paraId="4B668989" w14:textId="77777777" w:rsidTr="00EE4038">
        <w:trPr>
          <w:jc w:val="center"/>
        </w:trPr>
        <w:tc>
          <w:tcPr>
            <w:tcW w:w="4876" w:type="dxa"/>
          </w:tcPr>
          <w:p w14:paraId="65C0F4CB" w14:textId="77777777" w:rsidR="00EE4038" w:rsidRPr="00941D7C" w:rsidRDefault="00EE4038">
            <w:pPr>
              <w:pStyle w:val="Normal6"/>
              <w:rPr>
                <w:lang w:val="en-GB"/>
              </w:rPr>
            </w:pPr>
          </w:p>
        </w:tc>
        <w:tc>
          <w:tcPr>
            <w:tcW w:w="4876" w:type="dxa"/>
            <w:hideMark/>
          </w:tcPr>
          <w:p w14:paraId="367BEE02" w14:textId="3A239BB6" w:rsidR="00EE4038" w:rsidRPr="00941D7C" w:rsidRDefault="00EE4038">
            <w:pPr>
              <w:pStyle w:val="Normal6"/>
              <w:rPr>
                <w:szCs w:val="24"/>
                <w:lang w:val="en-GB"/>
              </w:rPr>
            </w:pPr>
            <w:r w:rsidRPr="00941D7C">
              <w:rPr>
                <w:b/>
                <w:i/>
                <w:lang w:val="en-GB"/>
              </w:rPr>
              <w:t>(ca)</w:t>
            </w:r>
            <w:r w:rsidRPr="00941D7C">
              <w:rPr>
                <w:b/>
                <w:i/>
                <w:lang w:val="en-GB"/>
              </w:rPr>
              <w:tab/>
              <w:t>paragraph 10 is replaced by the following:</w:t>
            </w:r>
          </w:p>
        </w:tc>
      </w:tr>
      <w:tr w:rsidR="00EE4038" w:rsidRPr="00941D7C" w14:paraId="0B4AFEEF" w14:textId="77777777" w:rsidTr="00EE4038">
        <w:trPr>
          <w:jc w:val="center"/>
        </w:trPr>
        <w:tc>
          <w:tcPr>
            <w:tcW w:w="4876" w:type="dxa"/>
            <w:hideMark/>
          </w:tcPr>
          <w:p w14:paraId="37B71932" w14:textId="77777777" w:rsidR="00EE4038" w:rsidRPr="00941D7C" w:rsidRDefault="00EE4038">
            <w:pPr>
              <w:pStyle w:val="Normal6"/>
              <w:rPr>
                <w:lang w:val="en-GB"/>
              </w:rPr>
            </w:pPr>
            <w:r w:rsidRPr="00941D7C">
              <w:rPr>
                <w:lang w:val="en-GB"/>
              </w:rPr>
              <w:t>10.</w:t>
            </w:r>
            <w:r w:rsidRPr="00941D7C">
              <w:rPr>
                <w:lang w:val="en-GB"/>
              </w:rPr>
              <w:tab/>
              <w:t>The exemption laid down in paragraph 9 shall also apply to public-interest entities subject to the requirements of this Article</w:t>
            </w:r>
            <w:r w:rsidRPr="00941D7C">
              <w:rPr>
                <w:b/>
                <w:i/>
                <w:lang w:val="en-GB"/>
              </w:rPr>
              <w:t xml:space="preserve">, </w:t>
            </w:r>
            <w:proofErr w:type="gramStart"/>
            <w:r w:rsidRPr="00941D7C">
              <w:rPr>
                <w:b/>
                <w:i/>
                <w:lang w:val="en-GB"/>
              </w:rPr>
              <w:t>with the exception of</w:t>
            </w:r>
            <w:proofErr w:type="gramEnd"/>
            <w:r w:rsidRPr="00941D7C">
              <w:rPr>
                <w:b/>
                <w:i/>
                <w:lang w:val="en-GB"/>
              </w:rPr>
              <w:t xml:space="preserve"> large undertakings which are public-interest entities defined in point (a) of point (1) of Article 2 of this Directive</w:t>
            </w:r>
            <w:r w:rsidRPr="00941D7C">
              <w:rPr>
                <w:lang w:val="en-GB"/>
              </w:rPr>
              <w:t>.</w:t>
            </w:r>
          </w:p>
        </w:tc>
        <w:tc>
          <w:tcPr>
            <w:tcW w:w="4876" w:type="dxa"/>
            <w:hideMark/>
          </w:tcPr>
          <w:p w14:paraId="064E777F" w14:textId="1D74FD5C" w:rsidR="00EE4038" w:rsidRPr="00941D7C" w:rsidRDefault="00EE4038">
            <w:pPr>
              <w:pStyle w:val="Normal6"/>
              <w:rPr>
                <w:szCs w:val="24"/>
                <w:lang w:val="en-GB"/>
              </w:rPr>
            </w:pPr>
            <w:r w:rsidRPr="00941D7C">
              <w:rPr>
                <w:b/>
                <w:i/>
                <w:lang w:val="en-GB"/>
              </w:rPr>
              <w:t>‘</w:t>
            </w:r>
            <w:r w:rsidRPr="00941D7C">
              <w:rPr>
                <w:lang w:val="en-GB"/>
              </w:rPr>
              <w:t>10.</w:t>
            </w:r>
            <w:r w:rsidRPr="00941D7C">
              <w:rPr>
                <w:lang w:val="en-GB"/>
              </w:rPr>
              <w:tab/>
              <w:t>The exemption laid down in paragraph 9 shall also apply to public-interest entities subject to the requirements of this Article.’</w:t>
            </w:r>
            <w:r w:rsidR="00775E11" w:rsidRPr="00941D7C">
              <w:rPr>
                <w:lang w:val="en-GB"/>
              </w:rPr>
              <w:t>;</w:t>
            </w:r>
          </w:p>
        </w:tc>
      </w:tr>
    </w:tbl>
    <w:p w14:paraId="5722C85A"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6C6D0101" w14:textId="77777777" w:rsidR="00EE4038" w:rsidRPr="00941D7C" w:rsidRDefault="00EE4038" w:rsidP="00EE4038">
      <w:r w:rsidRPr="00941D7C">
        <w:rPr>
          <w:rStyle w:val="HideTWBExt"/>
        </w:rPr>
        <w:t>&lt;/Amend&gt;</w:t>
      </w:r>
    </w:p>
    <w:p w14:paraId="2CCC7B2D" w14:textId="0319684B"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34</w:t>
      </w:r>
      <w:r w:rsidRPr="00941D7C">
        <w:rPr>
          <w:rStyle w:val="HideTWBExt"/>
          <w:lang w:val="en-GB"/>
        </w:rPr>
        <w:t>&lt;/NumAm&gt;</w:t>
      </w:r>
    </w:p>
    <w:p w14:paraId="3B9E31E8"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3EED72D7"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2 – paragraph 1 – point 3</w:t>
      </w:r>
      <w:r w:rsidRPr="008C7353">
        <w:rPr>
          <w:rStyle w:val="HideTWBExt"/>
          <w:lang w:val="fr-FR"/>
        </w:rPr>
        <w:t>&lt;/Article&gt;</w:t>
      </w:r>
    </w:p>
    <w:p w14:paraId="365B689D" w14:textId="77777777" w:rsidR="00EE4038" w:rsidRPr="008C7353" w:rsidRDefault="00EE4038" w:rsidP="00EE4038">
      <w:pPr>
        <w:keepNext/>
        <w:rPr>
          <w:lang w:val="fr-FR"/>
        </w:rPr>
      </w:pPr>
      <w:r w:rsidRPr="008C7353">
        <w:rPr>
          <w:rStyle w:val="HideTWBExt"/>
          <w:lang w:val="fr-FR"/>
        </w:rPr>
        <w:t>&lt;DocAmend2&gt;</w:t>
      </w:r>
      <w:r w:rsidRPr="008C7353">
        <w:rPr>
          <w:lang w:val="fr-FR"/>
        </w:rPr>
        <w:t>Directive 2013/34/EU</w:t>
      </w:r>
      <w:r w:rsidRPr="008C7353">
        <w:rPr>
          <w:rStyle w:val="HideTWBExt"/>
          <w:lang w:val="fr-FR"/>
        </w:rPr>
        <w:t>&lt;/DocAmend2&gt;</w:t>
      </w:r>
    </w:p>
    <w:p w14:paraId="6BC925F3" w14:textId="77777777" w:rsidR="00EE4038" w:rsidRPr="00941D7C" w:rsidRDefault="00EE4038" w:rsidP="00EE4038">
      <w:r w:rsidRPr="00941D7C">
        <w:rPr>
          <w:rStyle w:val="HideTWBExt"/>
        </w:rPr>
        <w:t>&lt;Article2&gt;</w:t>
      </w:r>
      <w:r w:rsidRPr="00941D7C">
        <w:t>Article 19b – paragraph 1</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0C58E317" w14:textId="77777777" w:rsidTr="00EE4038">
        <w:trPr>
          <w:jc w:val="center"/>
        </w:trPr>
        <w:tc>
          <w:tcPr>
            <w:tcW w:w="9752" w:type="dxa"/>
            <w:gridSpan w:val="2"/>
          </w:tcPr>
          <w:p w14:paraId="1EC1D018" w14:textId="77777777" w:rsidR="00EE4038" w:rsidRPr="00941D7C" w:rsidRDefault="00EE4038">
            <w:pPr>
              <w:keepNext/>
            </w:pPr>
          </w:p>
        </w:tc>
      </w:tr>
      <w:tr w:rsidR="00EE4038" w:rsidRPr="00941D7C" w14:paraId="04936B3C" w14:textId="77777777" w:rsidTr="00EE4038">
        <w:trPr>
          <w:jc w:val="center"/>
        </w:trPr>
        <w:tc>
          <w:tcPr>
            <w:tcW w:w="4876" w:type="dxa"/>
            <w:hideMark/>
          </w:tcPr>
          <w:p w14:paraId="490CAFF0"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06C66814" w14:textId="77777777" w:rsidR="00EE4038" w:rsidRPr="00941D7C" w:rsidRDefault="00EE4038">
            <w:pPr>
              <w:pStyle w:val="ColumnHeading"/>
              <w:keepNext/>
              <w:rPr>
                <w:lang w:val="en-GB"/>
              </w:rPr>
            </w:pPr>
            <w:r w:rsidRPr="00941D7C">
              <w:rPr>
                <w:lang w:val="en-GB"/>
              </w:rPr>
              <w:t>Amendment</w:t>
            </w:r>
          </w:p>
        </w:tc>
      </w:tr>
      <w:tr w:rsidR="00EE4038" w:rsidRPr="00941D7C" w14:paraId="0CD83758" w14:textId="77777777" w:rsidTr="00EE4038">
        <w:trPr>
          <w:jc w:val="center"/>
        </w:trPr>
        <w:tc>
          <w:tcPr>
            <w:tcW w:w="4876" w:type="dxa"/>
            <w:hideMark/>
          </w:tcPr>
          <w:p w14:paraId="26859778" w14:textId="77777777" w:rsidR="00EE4038" w:rsidRPr="00941D7C" w:rsidRDefault="00EE4038">
            <w:pPr>
              <w:pStyle w:val="Normal6"/>
              <w:rPr>
                <w:lang w:val="en-GB"/>
              </w:rPr>
            </w:pPr>
            <w:r w:rsidRPr="00941D7C">
              <w:rPr>
                <w:lang w:val="en-GB"/>
              </w:rPr>
              <w:t>1.</w:t>
            </w:r>
            <w:r w:rsidRPr="00941D7C">
              <w:rPr>
                <w:lang w:val="en-GB"/>
              </w:rPr>
              <w:tab/>
              <w:t>Member States shall ensure that, by way of derogation from Article 8 of Regulation (EU) 2020/852, undertakings as referred to in Article 19</w:t>
            </w:r>
            <w:proofErr w:type="gramStart"/>
            <w:r w:rsidRPr="00941D7C">
              <w:rPr>
                <w:lang w:val="en-GB"/>
              </w:rPr>
              <w:t>a(</w:t>
            </w:r>
            <w:proofErr w:type="gramEnd"/>
            <w:r w:rsidRPr="00941D7C">
              <w:rPr>
                <w:lang w:val="en-GB"/>
              </w:rPr>
              <w:t xml:space="preserve">1) of this Directive </w:t>
            </w:r>
            <w:r w:rsidRPr="00941D7C">
              <w:rPr>
                <w:b/>
                <w:i/>
                <w:lang w:val="en-GB"/>
              </w:rPr>
              <w:t>which, on their balance sheet dates, do not exceed a net turnover of EUR 450 000 000 during the financial year</w:t>
            </w:r>
            <w:r w:rsidRPr="00941D7C">
              <w:rPr>
                <w:lang w:val="en-GB"/>
              </w:rPr>
              <w:t xml:space="preserve"> shall apply </w:t>
            </w:r>
            <w:r w:rsidRPr="00941D7C">
              <w:rPr>
                <w:b/>
                <w:i/>
                <w:lang w:val="en-GB"/>
              </w:rPr>
              <w:t>the</w:t>
            </w:r>
            <w:r w:rsidRPr="00941D7C">
              <w:rPr>
                <w:lang w:val="en-GB"/>
              </w:rPr>
              <w:t xml:space="preserve"> paragraphs 2, 3 and 4 of this </w:t>
            </w:r>
            <w:r w:rsidRPr="00941D7C">
              <w:rPr>
                <w:b/>
                <w:i/>
                <w:lang w:val="en-GB"/>
              </w:rPr>
              <w:t>Directive</w:t>
            </w:r>
            <w:r w:rsidRPr="00941D7C">
              <w:rPr>
                <w:lang w:val="en-GB"/>
              </w:rPr>
              <w:t>.</w:t>
            </w:r>
          </w:p>
        </w:tc>
        <w:tc>
          <w:tcPr>
            <w:tcW w:w="4876" w:type="dxa"/>
            <w:hideMark/>
          </w:tcPr>
          <w:p w14:paraId="6E1092AF" w14:textId="00C2AA31" w:rsidR="00EE4038" w:rsidRPr="00941D7C" w:rsidRDefault="00EE4038" w:rsidP="00DD0B81">
            <w:pPr>
              <w:pStyle w:val="Normal6"/>
              <w:rPr>
                <w:szCs w:val="24"/>
                <w:lang w:val="en-GB"/>
              </w:rPr>
            </w:pPr>
            <w:r w:rsidRPr="00941D7C">
              <w:rPr>
                <w:lang w:val="en-GB"/>
              </w:rPr>
              <w:t>1.</w:t>
            </w:r>
            <w:r w:rsidRPr="00941D7C">
              <w:rPr>
                <w:lang w:val="en-GB"/>
              </w:rPr>
              <w:tab/>
              <w:t>Member States shall ensure that, by way of derogation from Article 8 of Regulation (EU) 2020/852, undertakings as referred to in Article 19</w:t>
            </w:r>
            <w:proofErr w:type="gramStart"/>
            <w:r w:rsidRPr="00941D7C">
              <w:rPr>
                <w:lang w:val="en-GB"/>
              </w:rPr>
              <w:t>a(</w:t>
            </w:r>
            <w:proofErr w:type="gramEnd"/>
            <w:r w:rsidRPr="00941D7C">
              <w:rPr>
                <w:lang w:val="en-GB"/>
              </w:rPr>
              <w:t xml:space="preserve">1) of this Directive shall apply paragraphs 2, 3 and 4 of this </w:t>
            </w:r>
            <w:r w:rsidRPr="00941D7C">
              <w:rPr>
                <w:b/>
                <w:i/>
                <w:lang w:val="en-GB"/>
              </w:rPr>
              <w:t>Article</w:t>
            </w:r>
            <w:r w:rsidRPr="00941D7C">
              <w:rPr>
                <w:lang w:val="en-GB"/>
              </w:rPr>
              <w:t>.</w:t>
            </w:r>
          </w:p>
        </w:tc>
      </w:tr>
    </w:tbl>
    <w:p w14:paraId="5DCFD082"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087EE525" w14:textId="77777777" w:rsidR="00EE4038" w:rsidRPr="00941D7C" w:rsidRDefault="00EE4038" w:rsidP="00EE4038">
      <w:r w:rsidRPr="00941D7C">
        <w:rPr>
          <w:rStyle w:val="HideTWBExt"/>
        </w:rPr>
        <w:t>&lt;/Amend&gt;</w:t>
      </w:r>
    </w:p>
    <w:p w14:paraId="07296EB9" w14:textId="4707BBF8"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35</w:t>
      </w:r>
      <w:r w:rsidRPr="00941D7C">
        <w:rPr>
          <w:rStyle w:val="HideTWBExt"/>
          <w:lang w:val="en-GB"/>
        </w:rPr>
        <w:t>&lt;/NumAm&gt;</w:t>
      </w:r>
    </w:p>
    <w:p w14:paraId="5B895E1C"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3FEC4D23"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2 – paragraph 1 – point 4 – point a</w:t>
      </w:r>
      <w:r w:rsidRPr="008C7353">
        <w:rPr>
          <w:rStyle w:val="HideTWBExt"/>
          <w:lang w:val="fr-FR"/>
        </w:rPr>
        <w:t>&lt;/Article&gt;</w:t>
      </w:r>
    </w:p>
    <w:p w14:paraId="6757FFF2" w14:textId="77777777" w:rsidR="00EE4038" w:rsidRPr="00941D7C" w:rsidRDefault="00EE4038" w:rsidP="00EE4038">
      <w:pPr>
        <w:keepNext/>
      </w:pPr>
      <w:r w:rsidRPr="00941D7C">
        <w:rPr>
          <w:rStyle w:val="HideTWBExt"/>
        </w:rPr>
        <w:t>&lt;DocAmend2&gt;</w:t>
      </w:r>
      <w:r w:rsidRPr="00941D7C">
        <w:t>Directive 2013/34/EU</w:t>
      </w:r>
      <w:r w:rsidRPr="00941D7C">
        <w:rPr>
          <w:rStyle w:val="HideTWBExt"/>
        </w:rPr>
        <w:t>&lt;/DocAmend2&gt;</w:t>
      </w:r>
    </w:p>
    <w:p w14:paraId="3602C4A6" w14:textId="77777777" w:rsidR="00EE4038" w:rsidRPr="00941D7C" w:rsidRDefault="00EE4038" w:rsidP="00EE4038">
      <w:r w:rsidRPr="00941D7C">
        <w:rPr>
          <w:rStyle w:val="HideTWBExt"/>
        </w:rPr>
        <w:t>&lt;Article2&gt;</w:t>
      </w:r>
      <w:r w:rsidRPr="00941D7C">
        <w:t>Article 29a – paragraph 1 – subparagraph 1</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4198E3B9" w14:textId="77777777" w:rsidTr="00EE4038">
        <w:trPr>
          <w:jc w:val="center"/>
        </w:trPr>
        <w:tc>
          <w:tcPr>
            <w:tcW w:w="9752" w:type="dxa"/>
            <w:gridSpan w:val="2"/>
          </w:tcPr>
          <w:p w14:paraId="233EF710" w14:textId="77777777" w:rsidR="00EE4038" w:rsidRPr="00941D7C" w:rsidRDefault="00EE4038">
            <w:pPr>
              <w:keepNext/>
            </w:pPr>
          </w:p>
        </w:tc>
      </w:tr>
      <w:tr w:rsidR="00EE4038" w:rsidRPr="00941D7C" w14:paraId="1C69BAD1" w14:textId="77777777" w:rsidTr="00EE4038">
        <w:trPr>
          <w:jc w:val="center"/>
        </w:trPr>
        <w:tc>
          <w:tcPr>
            <w:tcW w:w="4876" w:type="dxa"/>
            <w:hideMark/>
          </w:tcPr>
          <w:p w14:paraId="216511EA"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3D6D1274" w14:textId="77777777" w:rsidR="00EE4038" w:rsidRPr="00941D7C" w:rsidRDefault="00EE4038">
            <w:pPr>
              <w:pStyle w:val="ColumnHeading"/>
              <w:keepNext/>
              <w:rPr>
                <w:lang w:val="en-GB"/>
              </w:rPr>
            </w:pPr>
            <w:r w:rsidRPr="00941D7C">
              <w:rPr>
                <w:lang w:val="en-GB"/>
              </w:rPr>
              <w:t>Amendment</w:t>
            </w:r>
          </w:p>
        </w:tc>
      </w:tr>
      <w:tr w:rsidR="00EE4038" w:rsidRPr="00941D7C" w14:paraId="0D60834B" w14:textId="77777777" w:rsidTr="00EE4038">
        <w:trPr>
          <w:jc w:val="center"/>
        </w:trPr>
        <w:tc>
          <w:tcPr>
            <w:tcW w:w="4876" w:type="dxa"/>
            <w:hideMark/>
          </w:tcPr>
          <w:p w14:paraId="1F30B321" w14:textId="77777777" w:rsidR="00EE4038" w:rsidRPr="00941D7C" w:rsidRDefault="00EE4038">
            <w:pPr>
              <w:pStyle w:val="Normal6"/>
              <w:rPr>
                <w:lang w:val="en-GB"/>
              </w:rPr>
            </w:pPr>
            <w:r w:rsidRPr="00941D7C">
              <w:rPr>
                <w:lang w:val="en-GB"/>
              </w:rPr>
              <w:t xml:space="preserve">‘Parent undertakings of a </w:t>
            </w:r>
            <w:r w:rsidRPr="00941D7C">
              <w:rPr>
                <w:b/>
                <w:i/>
                <w:lang w:val="en-GB"/>
              </w:rPr>
              <w:t>large</w:t>
            </w:r>
            <w:r w:rsidRPr="00941D7C">
              <w:rPr>
                <w:lang w:val="en-GB"/>
              </w:rPr>
              <w:t xml:space="preserve"> group which, on their balance sheet dates, exceed the average number of </w:t>
            </w:r>
            <w:r w:rsidRPr="00941D7C">
              <w:rPr>
                <w:b/>
                <w:i/>
                <w:lang w:val="en-GB"/>
              </w:rPr>
              <w:t>1000</w:t>
            </w:r>
            <w:r w:rsidRPr="00941D7C">
              <w:rPr>
                <w:lang w:val="en-GB"/>
              </w:rPr>
              <w:t xml:space="preserve"> employees, on a consolidated basis, during the financial year, shall include in the consolidated management report information necessary to understand the group’s impacts on sustainability matters, and information necessary to understand how sustainability matters affect the group’s development, performance and position.’;</w:t>
            </w:r>
          </w:p>
        </w:tc>
        <w:tc>
          <w:tcPr>
            <w:tcW w:w="4876" w:type="dxa"/>
            <w:hideMark/>
          </w:tcPr>
          <w:p w14:paraId="2A54AC3E" w14:textId="77777777" w:rsidR="00EE4038" w:rsidRPr="00941D7C" w:rsidRDefault="00EE4038">
            <w:pPr>
              <w:pStyle w:val="Normal6"/>
              <w:rPr>
                <w:szCs w:val="24"/>
                <w:lang w:val="en-GB"/>
              </w:rPr>
            </w:pPr>
            <w:r w:rsidRPr="00941D7C">
              <w:rPr>
                <w:lang w:val="en-GB"/>
              </w:rPr>
              <w:t xml:space="preserve">‘Parent undertakings of a group which, on their balance sheet dates, exceed the average number of </w:t>
            </w:r>
            <w:r w:rsidRPr="00941D7C">
              <w:rPr>
                <w:b/>
                <w:i/>
                <w:lang w:val="en-GB"/>
              </w:rPr>
              <w:t>3000</w:t>
            </w:r>
            <w:r w:rsidRPr="00941D7C">
              <w:rPr>
                <w:lang w:val="en-GB"/>
              </w:rPr>
              <w:t xml:space="preserve"> employees </w:t>
            </w:r>
            <w:r w:rsidRPr="00941D7C">
              <w:rPr>
                <w:b/>
                <w:i/>
                <w:lang w:val="en-GB"/>
              </w:rPr>
              <w:t>and a net turnover of EUR 450 000 000</w:t>
            </w:r>
            <w:r w:rsidRPr="00941D7C">
              <w:rPr>
                <w:lang w:val="en-GB"/>
              </w:rPr>
              <w:t>, on a consolidated basis, during the financial year, shall include in the consolidated management report information necessary to understand the group’s impacts on sustainability matters, and information necessary to understand how sustainability matters affect the group’s development, performance and position.’;</w:t>
            </w:r>
          </w:p>
        </w:tc>
      </w:tr>
    </w:tbl>
    <w:p w14:paraId="4A9993A3"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00C1A152" w14:textId="77777777" w:rsidR="00EE4038" w:rsidRPr="00941D7C" w:rsidRDefault="00EE4038" w:rsidP="00EE4038">
      <w:r w:rsidRPr="00941D7C">
        <w:rPr>
          <w:rStyle w:val="HideTWBExt"/>
        </w:rPr>
        <w:t>&lt;/Amend&gt;</w:t>
      </w:r>
    </w:p>
    <w:p w14:paraId="1F5676BF" w14:textId="0EC30357"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36</w:t>
      </w:r>
      <w:r w:rsidRPr="00941D7C">
        <w:rPr>
          <w:rStyle w:val="HideTWBExt"/>
          <w:lang w:val="en-GB"/>
        </w:rPr>
        <w:t>&lt;/NumAm&gt;</w:t>
      </w:r>
    </w:p>
    <w:p w14:paraId="53163A74"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16CD5AE8"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 xml:space="preserve">Article 2 – paragraph 1 – point 4 – point a </w:t>
      </w:r>
      <w:proofErr w:type="gramStart"/>
      <w:r w:rsidRPr="008C7353">
        <w:rPr>
          <w:lang w:val="fr-FR"/>
        </w:rPr>
        <w:t>a</w:t>
      </w:r>
      <w:proofErr w:type="gramEnd"/>
      <w:r w:rsidRPr="008C7353">
        <w:rPr>
          <w:lang w:val="fr-FR"/>
        </w:rPr>
        <w:t xml:space="preserve"> (new)</w:t>
      </w:r>
      <w:r w:rsidRPr="008C7353">
        <w:rPr>
          <w:rStyle w:val="HideTWBExt"/>
          <w:lang w:val="fr-FR"/>
        </w:rPr>
        <w:t>&lt;/Article&gt;</w:t>
      </w:r>
    </w:p>
    <w:p w14:paraId="5F254182" w14:textId="77777777" w:rsidR="00EE4038" w:rsidRPr="008C7353" w:rsidRDefault="00EE4038" w:rsidP="00EE4038">
      <w:pPr>
        <w:keepNext/>
        <w:rPr>
          <w:lang w:val="fr-FR"/>
        </w:rPr>
      </w:pPr>
      <w:r w:rsidRPr="008C7353">
        <w:rPr>
          <w:rStyle w:val="HideTWBExt"/>
          <w:lang w:val="fr-FR"/>
        </w:rPr>
        <w:t>&lt;DocAmend2&gt;</w:t>
      </w:r>
      <w:r w:rsidRPr="008C7353">
        <w:rPr>
          <w:lang w:val="fr-FR"/>
        </w:rPr>
        <w:t>Directive 2013/34/EU</w:t>
      </w:r>
      <w:r w:rsidRPr="008C7353">
        <w:rPr>
          <w:rStyle w:val="HideTWBExt"/>
          <w:lang w:val="fr-FR"/>
        </w:rPr>
        <w:t>&lt;/DocAmend2&gt;</w:t>
      </w:r>
    </w:p>
    <w:p w14:paraId="334F0027" w14:textId="77777777" w:rsidR="00EE4038" w:rsidRPr="00941D7C" w:rsidRDefault="00EE4038" w:rsidP="00EE4038">
      <w:r w:rsidRPr="00941D7C">
        <w:rPr>
          <w:rStyle w:val="HideTWBExt"/>
        </w:rPr>
        <w:t>&lt;Article2&gt;</w:t>
      </w:r>
      <w:r w:rsidRPr="00941D7C">
        <w:t>Article 29a – paragraph 1 – subparagraph 2</w:t>
      </w:r>
      <w:r w:rsidR="004D7AB7" w:rsidRPr="00941D7C">
        <w:t xml:space="preserve"> </w:t>
      </w:r>
      <w:r w:rsidRPr="00941D7C">
        <w:t>a new</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52EBECAA" w14:textId="77777777" w:rsidTr="00EE4038">
        <w:trPr>
          <w:jc w:val="center"/>
        </w:trPr>
        <w:tc>
          <w:tcPr>
            <w:tcW w:w="9752" w:type="dxa"/>
            <w:gridSpan w:val="2"/>
          </w:tcPr>
          <w:p w14:paraId="78C5AF88" w14:textId="77777777" w:rsidR="00EE4038" w:rsidRPr="00941D7C" w:rsidRDefault="00EE4038">
            <w:pPr>
              <w:keepNext/>
            </w:pPr>
          </w:p>
        </w:tc>
      </w:tr>
      <w:tr w:rsidR="00EE4038" w:rsidRPr="00941D7C" w14:paraId="4924170B" w14:textId="77777777" w:rsidTr="00EE4038">
        <w:trPr>
          <w:jc w:val="center"/>
        </w:trPr>
        <w:tc>
          <w:tcPr>
            <w:tcW w:w="4876" w:type="dxa"/>
            <w:hideMark/>
          </w:tcPr>
          <w:p w14:paraId="3FE32421"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07EDCED3" w14:textId="77777777" w:rsidR="00EE4038" w:rsidRPr="00941D7C" w:rsidRDefault="00EE4038">
            <w:pPr>
              <w:pStyle w:val="ColumnHeading"/>
              <w:keepNext/>
              <w:rPr>
                <w:lang w:val="en-GB"/>
              </w:rPr>
            </w:pPr>
            <w:r w:rsidRPr="00941D7C">
              <w:rPr>
                <w:lang w:val="en-GB"/>
              </w:rPr>
              <w:t>Amendment</w:t>
            </w:r>
          </w:p>
        </w:tc>
      </w:tr>
      <w:tr w:rsidR="00EE4038" w:rsidRPr="00941D7C" w14:paraId="32775E04" w14:textId="77777777" w:rsidTr="00EE4038">
        <w:trPr>
          <w:jc w:val="center"/>
        </w:trPr>
        <w:tc>
          <w:tcPr>
            <w:tcW w:w="4876" w:type="dxa"/>
          </w:tcPr>
          <w:p w14:paraId="0894E926" w14:textId="77777777" w:rsidR="00EE4038" w:rsidRPr="00941D7C" w:rsidRDefault="00EE4038">
            <w:pPr>
              <w:pStyle w:val="Normal6"/>
              <w:rPr>
                <w:lang w:val="en-GB"/>
              </w:rPr>
            </w:pPr>
          </w:p>
        </w:tc>
        <w:tc>
          <w:tcPr>
            <w:tcW w:w="4876" w:type="dxa"/>
            <w:hideMark/>
          </w:tcPr>
          <w:p w14:paraId="53C11CB6" w14:textId="6A63D6B4" w:rsidR="00EE4038" w:rsidRPr="00941D7C" w:rsidRDefault="00EE4038">
            <w:pPr>
              <w:pStyle w:val="Normal6"/>
              <w:rPr>
                <w:szCs w:val="24"/>
                <w:lang w:val="en-GB"/>
              </w:rPr>
            </w:pPr>
            <w:r w:rsidRPr="00941D7C">
              <w:rPr>
                <w:b/>
                <w:i/>
                <w:lang w:val="en-GB"/>
              </w:rPr>
              <w:t>(aa)</w:t>
            </w:r>
            <w:r w:rsidRPr="00941D7C">
              <w:rPr>
                <w:b/>
                <w:i/>
                <w:lang w:val="en-GB"/>
              </w:rPr>
              <w:tab/>
              <w:t>in paragraph 1, the following subparagraph is added:</w:t>
            </w:r>
          </w:p>
        </w:tc>
      </w:tr>
      <w:tr w:rsidR="00EE4038" w:rsidRPr="00941D7C" w14:paraId="379FA041" w14:textId="77777777" w:rsidTr="00EE4038">
        <w:trPr>
          <w:jc w:val="center"/>
        </w:trPr>
        <w:tc>
          <w:tcPr>
            <w:tcW w:w="4876" w:type="dxa"/>
          </w:tcPr>
          <w:p w14:paraId="285E8883" w14:textId="77777777" w:rsidR="00EE4038" w:rsidRPr="00941D7C" w:rsidRDefault="00EE4038">
            <w:pPr>
              <w:pStyle w:val="Normal6"/>
              <w:rPr>
                <w:lang w:val="en-GB"/>
              </w:rPr>
            </w:pPr>
          </w:p>
        </w:tc>
        <w:tc>
          <w:tcPr>
            <w:tcW w:w="4876" w:type="dxa"/>
            <w:hideMark/>
          </w:tcPr>
          <w:p w14:paraId="4DA7C0E3" w14:textId="0A528DA6" w:rsidR="00EE4038" w:rsidRPr="00941D7C" w:rsidRDefault="00BC2693" w:rsidP="006D12C5">
            <w:pPr>
              <w:rPr>
                <w:szCs w:val="24"/>
              </w:rPr>
            </w:pPr>
            <w:r w:rsidRPr="00941D7C">
              <w:rPr>
                <w:b/>
                <w:i/>
              </w:rPr>
              <w:t>‘Where the ultimate parent undertaking of a group is a financial holding undertaking as defined in Article 2(15), it may be exempted from complying with the obligations set out in this Directive. That exemption is subject to the condition that one of the ultimate parent undertaking’s subsidiaries established in the Union is designated to comply with those obligations on behalf of the ultimate parent undertaking’;</w:t>
            </w:r>
          </w:p>
        </w:tc>
      </w:tr>
    </w:tbl>
    <w:p w14:paraId="01D3A4A6"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2F602F46" w14:textId="77777777" w:rsidR="00EE4038" w:rsidRPr="00941D7C" w:rsidRDefault="00EE4038" w:rsidP="00EE4038">
      <w:r w:rsidRPr="00941D7C">
        <w:rPr>
          <w:rStyle w:val="HideTWBExt"/>
        </w:rPr>
        <w:t>&lt;/Amend&gt;</w:t>
      </w:r>
    </w:p>
    <w:p w14:paraId="18026867" w14:textId="0D37B271"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37</w:t>
      </w:r>
      <w:r w:rsidRPr="00941D7C">
        <w:rPr>
          <w:rStyle w:val="HideTWBExt"/>
          <w:lang w:val="en-GB"/>
        </w:rPr>
        <w:t>&lt;/NumAm&gt;</w:t>
      </w:r>
    </w:p>
    <w:p w14:paraId="2F6BE4FA"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593C0F14"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2 – paragraph 1 – point 4 – point a b (new)</w:t>
      </w:r>
      <w:r w:rsidR="00E33574" w:rsidRPr="008C7353">
        <w:rPr>
          <w:lang w:val="fr-FR"/>
        </w:rPr>
        <w:t xml:space="preserve"> – point i</w:t>
      </w:r>
      <w:r w:rsidRPr="008C7353">
        <w:rPr>
          <w:rStyle w:val="HideTWBExt"/>
          <w:lang w:val="fr-FR"/>
        </w:rPr>
        <w:t>&lt;/Article&gt;</w:t>
      </w:r>
    </w:p>
    <w:p w14:paraId="701B5E4F" w14:textId="77777777" w:rsidR="00EE4038" w:rsidRPr="008C7353" w:rsidRDefault="00EE4038" w:rsidP="00EE4038">
      <w:pPr>
        <w:keepNext/>
        <w:rPr>
          <w:lang w:val="fr-FR"/>
        </w:rPr>
      </w:pPr>
      <w:r w:rsidRPr="008C7353">
        <w:rPr>
          <w:rStyle w:val="HideTWBExt"/>
          <w:lang w:val="fr-FR"/>
        </w:rPr>
        <w:t>&lt;DocAmend2&gt;</w:t>
      </w:r>
      <w:r w:rsidRPr="008C7353">
        <w:rPr>
          <w:lang w:val="fr-FR"/>
        </w:rPr>
        <w:t>Directive 2013/34/EU</w:t>
      </w:r>
      <w:r w:rsidRPr="008C7353">
        <w:rPr>
          <w:rStyle w:val="HideTWBExt"/>
          <w:lang w:val="fr-FR"/>
        </w:rPr>
        <w:t>&lt;/DocAmend2&gt;</w:t>
      </w:r>
    </w:p>
    <w:p w14:paraId="64FDFA0D" w14:textId="77777777" w:rsidR="00EE4038" w:rsidRPr="008C7353" w:rsidRDefault="00EE4038" w:rsidP="00EE4038">
      <w:pPr>
        <w:rPr>
          <w:lang w:val="fr-FR"/>
        </w:rPr>
      </w:pPr>
      <w:r w:rsidRPr="008C7353">
        <w:rPr>
          <w:rStyle w:val="HideTWBExt"/>
          <w:lang w:val="fr-FR"/>
        </w:rPr>
        <w:t>&lt;Article2&gt;</w:t>
      </w:r>
      <w:r w:rsidRPr="008C7353">
        <w:rPr>
          <w:lang w:val="fr-FR"/>
        </w:rPr>
        <w:t>Article 29a – paragraph 2 – point a – point iii</w:t>
      </w:r>
      <w:r w:rsidRPr="008C7353">
        <w:rPr>
          <w:rStyle w:val="HideTWBExt"/>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8C7353" w14:paraId="79DED144" w14:textId="77777777" w:rsidTr="007C3CBA">
        <w:trPr>
          <w:jc w:val="center"/>
        </w:trPr>
        <w:tc>
          <w:tcPr>
            <w:tcW w:w="9752" w:type="dxa"/>
            <w:gridSpan w:val="2"/>
          </w:tcPr>
          <w:p w14:paraId="7E6EC093" w14:textId="77777777" w:rsidR="00EE4038" w:rsidRPr="008C7353" w:rsidRDefault="00EE4038">
            <w:pPr>
              <w:keepNext/>
              <w:rPr>
                <w:lang w:val="fr-FR"/>
              </w:rPr>
            </w:pPr>
          </w:p>
        </w:tc>
      </w:tr>
      <w:tr w:rsidR="00EE4038" w:rsidRPr="00941D7C" w14:paraId="35B083BB" w14:textId="77777777" w:rsidTr="007C3CBA">
        <w:trPr>
          <w:jc w:val="center"/>
        </w:trPr>
        <w:tc>
          <w:tcPr>
            <w:tcW w:w="4876" w:type="dxa"/>
            <w:hideMark/>
          </w:tcPr>
          <w:p w14:paraId="740F264B" w14:textId="77777777" w:rsidR="00EE4038" w:rsidRPr="00941D7C" w:rsidRDefault="00EE4038">
            <w:pPr>
              <w:pStyle w:val="ColumnHeading"/>
              <w:keepNext/>
              <w:rPr>
                <w:lang w:val="en-GB"/>
              </w:rPr>
            </w:pPr>
            <w:r w:rsidRPr="00941D7C">
              <w:rPr>
                <w:lang w:val="en-GB"/>
              </w:rPr>
              <w:t>Present text</w:t>
            </w:r>
          </w:p>
        </w:tc>
        <w:tc>
          <w:tcPr>
            <w:tcW w:w="4876" w:type="dxa"/>
            <w:hideMark/>
          </w:tcPr>
          <w:p w14:paraId="043D108C" w14:textId="77777777" w:rsidR="00EE4038" w:rsidRPr="00941D7C" w:rsidRDefault="00EE4038">
            <w:pPr>
              <w:pStyle w:val="ColumnHeading"/>
              <w:keepNext/>
              <w:rPr>
                <w:lang w:val="en-GB"/>
              </w:rPr>
            </w:pPr>
            <w:r w:rsidRPr="00941D7C">
              <w:rPr>
                <w:lang w:val="en-GB"/>
              </w:rPr>
              <w:t>Amendment</w:t>
            </w:r>
          </w:p>
        </w:tc>
      </w:tr>
      <w:tr w:rsidR="00EE4038" w:rsidRPr="00941D7C" w14:paraId="5BAB71E1" w14:textId="77777777" w:rsidTr="00E33574">
        <w:trPr>
          <w:jc w:val="center"/>
        </w:trPr>
        <w:tc>
          <w:tcPr>
            <w:tcW w:w="4876" w:type="dxa"/>
          </w:tcPr>
          <w:p w14:paraId="4FBA719A" w14:textId="77777777" w:rsidR="00EE4038" w:rsidRPr="00941D7C" w:rsidRDefault="00EE4038">
            <w:pPr>
              <w:pStyle w:val="Normal6"/>
              <w:rPr>
                <w:lang w:val="en-GB"/>
              </w:rPr>
            </w:pPr>
          </w:p>
        </w:tc>
        <w:tc>
          <w:tcPr>
            <w:tcW w:w="4876" w:type="dxa"/>
            <w:hideMark/>
          </w:tcPr>
          <w:p w14:paraId="3EA50487" w14:textId="2CC5488F" w:rsidR="00EE4038" w:rsidRPr="00941D7C" w:rsidRDefault="00EE4038">
            <w:pPr>
              <w:pStyle w:val="Normal6"/>
              <w:rPr>
                <w:szCs w:val="24"/>
                <w:lang w:val="en-GB"/>
              </w:rPr>
            </w:pPr>
            <w:r w:rsidRPr="00941D7C">
              <w:rPr>
                <w:b/>
                <w:i/>
                <w:lang w:val="en-GB"/>
              </w:rPr>
              <w:t>(ab)</w:t>
            </w:r>
            <w:r w:rsidRPr="00941D7C">
              <w:rPr>
                <w:b/>
                <w:i/>
                <w:lang w:val="en-GB"/>
              </w:rPr>
              <w:tab/>
              <w:t>paragraph 2 is amended as follows:</w:t>
            </w:r>
          </w:p>
        </w:tc>
      </w:tr>
      <w:tr w:rsidR="00EE4038" w:rsidRPr="00941D7C" w14:paraId="193949C5" w14:textId="77777777" w:rsidTr="007C3CBA">
        <w:trPr>
          <w:jc w:val="center"/>
        </w:trPr>
        <w:tc>
          <w:tcPr>
            <w:tcW w:w="4876" w:type="dxa"/>
          </w:tcPr>
          <w:p w14:paraId="5B3C9F7A" w14:textId="77777777" w:rsidR="00EE4038" w:rsidRPr="00941D7C" w:rsidRDefault="00EE4038">
            <w:pPr>
              <w:pStyle w:val="Normal6"/>
              <w:rPr>
                <w:lang w:val="en-GB"/>
              </w:rPr>
            </w:pPr>
          </w:p>
        </w:tc>
        <w:tc>
          <w:tcPr>
            <w:tcW w:w="4876" w:type="dxa"/>
            <w:hideMark/>
          </w:tcPr>
          <w:p w14:paraId="3FBEE3E3" w14:textId="277D4F92" w:rsidR="00EE4038" w:rsidRPr="00941D7C" w:rsidRDefault="00EE4038" w:rsidP="00DD0B81">
            <w:pPr>
              <w:pStyle w:val="Normal6"/>
              <w:rPr>
                <w:szCs w:val="24"/>
                <w:lang w:val="en-GB"/>
              </w:rPr>
            </w:pPr>
            <w:r w:rsidRPr="00941D7C">
              <w:rPr>
                <w:b/>
                <w:i/>
                <w:lang w:val="en-GB"/>
              </w:rPr>
              <w:t>(i)</w:t>
            </w:r>
            <w:r w:rsidRPr="00941D7C">
              <w:rPr>
                <w:b/>
                <w:i/>
                <w:lang w:val="en-GB"/>
              </w:rPr>
              <w:tab/>
            </w:r>
            <w:r w:rsidR="00DD0B81" w:rsidRPr="00941D7C">
              <w:rPr>
                <w:b/>
                <w:i/>
                <w:lang w:val="en-GB"/>
              </w:rPr>
              <w:t xml:space="preserve">in point (a), </w:t>
            </w:r>
            <w:r w:rsidRPr="00941D7C">
              <w:rPr>
                <w:b/>
                <w:i/>
                <w:lang w:val="en-GB"/>
              </w:rPr>
              <w:t>point (iii) is replaced by following:</w:t>
            </w:r>
          </w:p>
        </w:tc>
      </w:tr>
      <w:tr w:rsidR="00EE4038" w:rsidRPr="00941D7C" w14:paraId="1A5296E6" w14:textId="77777777" w:rsidTr="007C3CBA">
        <w:trPr>
          <w:jc w:val="center"/>
        </w:trPr>
        <w:tc>
          <w:tcPr>
            <w:tcW w:w="4876" w:type="dxa"/>
            <w:hideMark/>
          </w:tcPr>
          <w:p w14:paraId="45CFB6ED" w14:textId="77777777" w:rsidR="00EE4038" w:rsidRPr="00941D7C" w:rsidRDefault="00EE4038">
            <w:pPr>
              <w:pStyle w:val="Normal6"/>
              <w:rPr>
                <w:b/>
                <w:i/>
                <w:lang w:val="en-GB"/>
              </w:rPr>
            </w:pPr>
            <w:r w:rsidRPr="00941D7C">
              <w:rPr>
                <w:lang w:val="en-GB"/>
              </w:rPr>
              <w:t>(iii)</w:t>
            </w:r>
            <w:r w:rsidRPr="00941D7C">
              <w:rPr>
                <w:b/>
                <w:i/>
                <w:lang w:val="en-GB"/>
              </w:rPr>
              <w:tab/>
              <w:t>the plans of the group, including implementing actions and related financial and investment plans, to ensure that its business model and strategy are compatible with the transition to a sustainable economy and with the limiting of global warming to 1,5 °C in line with the Paris Agreement and the objective of achieving climate neutrality by 2050 as established in Regulation (EU) 2021/1119 and where relevant, the exposure of the group to coal-, oil- and gas-related activities;</w:t>
            </w:r>
          </w:p>
        </w:tc>
        <w:tc>
          <w:tcPr>
            <w:tcW w:w="4876" w:type="dxa"/>
            <w:hideMark/>
          </w:tcPr>
          <w:p w14:paraId="4CA969F4" w14:textId="0D6261AB" w:rsidR="00EE4038" w:rsidRPr="00941D7C" w:rsidRDefault="00EE4038" w:rsidP="00DD0B81">
            <w:pPr>
              <w:pStyle w:val="Normal6"/>
              <w:rPr>
                <w:szCs w:val="24"/>
                <w:lang w:val="en-GB"/>
              </w:rPr>
            </w:pPr>
            <w:r w:rsidRPr="00941D7C">
              <w:rPr>
                <w:b/>
                <w:i/>
                <w:lang w:val="en-GB"/>
              </w:rPr>
              <w:t>‘</w:t>
            </w:r>
            <w:r w:rsidRPr="00941D7C">
              <w:rPr>
                <w:lang w:val="en-GB"/>
              </w:rPr>
              <w:t>(iii)</w:t>
            </w:r>
            <w:r w:rsidRPr="00941D7C">
              <w:rPr>
                <w:b/>
                <w:i/>
                <w:lang w:val="en-GB"/>
              </w:rPr>
              <w:tab/>
              <w:t>any climate-related transition plan</w:t>
            </w:r>
            <w:r w:rsidR="00DD0B81" w:rsidRPr="00941D7C">
              <w:rPr>
                <w:b/>
                <w:i/>
                <w:lang w:val="en-GB"/>
              </w:rPr>
              <w:t>s</w:t>
            </w:r>
            <w:r w:rsidRPr="00941D7C">
              <w:rPr>
                <w:b/>
                <w:i/>
                <w:lang w:val="en-GB"/>
              </w:rPr>
              <w:t xml:space="preserve"> </w:t>
            </w:r>
            <w:r w:rsidR="00DD0B81" w:rsidRPr="00941D7C">
              <w:rPr>
                <w:b/>
                <w:i/>
                <w:lang w:val="en-GB"/>
              </w:rPr>
              <w:t xml:space="preserve">of </w:t>
            </w:r>
            <w:r w:rsidRPr="00941D7C">
              <w:rPr>
                <w:b/>
                <w:i/>
                <w:lang w:val="en-GB"/>
              </w:rPr>
              <w:t>the undertaking, if such a plan exists;’</w:t>
            </w:r>
            <w:r w:rsidR="00DD0B81" w:rsidRPr="00941D7C">
              <w:rPr>
                <w:b/>
                <w:i/>
                <w:lang w:val="en-GB"/>
              </w:rPr>
              <w:t>;</w:t>
            </w:r>
          </w:p>
        </w:tc>
      </w:tr>
    </w:tbl>
    <w:p w14:paraId="748CC6E1"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57B6A6D7" w14:textId="77777777" w:rsidR="00EE4038" w:rsidRPr="00941D7C" w:rsidRDefault="00EE4038" w:rsidP="00EE4038">
      <w:r w:rsidRPr="00941D7C">
        <w:rPr>
          <w:rStyle w:val="HideTWBExt"/>
        </w:rPr>
        <w:t>&lt;/Amend&gt;</w:t>
      </w:r>
    </w:p>
    <w:p w14:paraId="152B5EC0" w14:textId="13A5CB22" w:rsidR="00F129CE" w:rsidRPr="00941D7C" w:rsidRDefault="00F129CE" w:rsidP="00F129CE">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38</w:t>
      </w:r>
      <w:r w:rsidRPr="00941D7C">
        <w:rPr>
          <w:rStyle w:val="HideTWBExt"/>
          <w:lang w:val="en-GB"/>
        </w:rPr>
        <w:t>&lt;/NumAm&gt;</w:t>
      </w:r>
    </w:p>
    <w:p w14:paraId="3BDE9AA8" w14:textId="77777777" w:rsidR="00F129CE" w:rsidRPr="00941D7C" w:rsidRDefault="00F129CE" w:rsidP="00F129CE">
      <w:pPr>
        <w:pStyle w:val="NormalBold12b"/>
        <w:keepNext/>
      </w:pPr>
      <w:r w:rsidRPr="00941D7C">
        <w:rPr>
          <w:rStyle w:val="HideTWBExt"/>
        </w:rPr>
        <w:t>&lt;DocAmend&gt;</w:t>
      </w:r>
      <w:r w:rsidRPr="00941D7C">
        <w:t>Proposal for a directive</w:t>
      </w:r>
      <w:r w:rsidRPr="00941D7C">
        <w:rPr>
          <w:rStyle w:val="HideTWBExt"/>
        </w:rPr>
        <w:t>&lt;/DocAmend&gt;</w:t>
      </w:r>
    </w:p>
    <w:p w14:paraId="65DFEDA1" w14:textId="1249977E" w:rsidR="00F129CE" w:rsidRPr="008C7353" w:rsidRDefault="00F129CE" w:rsidP="00F129CE">
      <w:pPr>
        <w:pStyle w:val="NormalBold"/>
        <w:rPr>
          <w:lang w:val="fr-FR"/>
        </w:rPr>
      </w:pPr>
      <w:r w:rsidRPr="008C7353">
        <w:rPr>
          <w:rStyle w:val="HideTWBExt"/>
          <w:lang w:val="fr-FR"/>
        </w:rPr>
        <w:t>&lt;Article&gt;</w:t>
      </w:r>
      <w:r w:rsidRPr="008C7353">
        <w:rPr>
          <w:lang w:val="fr-FR"/>
        </w:rPr>
        <w:t xml:space="preserve">Article 2 – paragraph 1 – point 4 – point a </w:t>
      </w:r>
      <w:r w:rsidR="004C0385" w:rsidRPr="008C7353">
        <w:rPr>
          <w:lang w:val="fr-FR"/>
        </w:rPr>
        <w:t>b</w:t>
      </w:r>
      <w:r w:rsidRPr="008C7353">
        <w:rPr>
          <w:lang w:val="fr-FR"/>
        </w:rPr>
        <w:t xml:space="preserve"> (new)</w:t>
      </w:r>
      <w:r w:rsidR="00E33574" w:rsidRPr="008C7353">
        <w:rPr>
          <w:lang w:val="fr-FR"/>
        </w:rPr>
        <w:t xml:space="preserve"> – point ii</w:t>
      </w:r>
      <w:r w:rsidRPr="008C7353">
        <w:rPr>
          <w:rStyle w:val="HideTWBExt"/>
          <w:lang w:val="fr-FR"/>
        </w:rPr>
        <w:t>&lt;/Article&gt;</w:t>
      </w:r>
    </w:p>
    <w:p w14:paraId="5AAC2815" w14:textId="77777777" w:rsidR="00F129CE" w:rsidRPr="008C7353" w:rsidRDefault="00F129CE" w:rsidP="00F129CE">
      <w:pPr>
        <w:keepNext/>
        <w:rPr>
          <w:lang w:val="fr-FR"/>
        </w:rPr>
      </w:pPr>
      <w:r w:rsidRPr="008C7353">
        <w:rPr>
          <w:rStyle w:val="HideTWBExt"/>
          <w:lang w:val="fr-FR"/>
        </w:rPr>
        <w:t>&lt;DocAmend2&gt;</w:t>
      </w:r>
      <w:r w:rsidRPr="008C7353">
        <w:rPr>
          <w:lang w:val="fr-FR"/>
        </w:rPr>
        <w:t>Directive 2013/34/EU</w:t>
      </w:r>
      <w:r w:rsidRPr="008C7353">
        <w:rPr>
          <w:rStyle w:val="HideTWBExt"/>
          <w:lang w:val="fr-FR"/>
        </w:rPr>
        <w:t>&lt;/DocAmend2&gt;</w:t>
      </w:r>
    </w:p>
    <w:p w14:paraId="198A8B5E" w14:textId="77777777" w:rsidR="00F129CE" w:rsidRPr="008C7353" w:rsidRDefault="00F129CE" w:rsidP="00F129CE">
      <w:pPr>
        <w:rPr>
          <w:lang w:val="fr-FR"/>
        </w:rPr>
      </w:pPr>
      <w:r w:rsidRPr="008C7353">
        <w:rPr>
          <w:rStyle w:val="HideTWBExt"/>
          <w:lang w:val="fr-FR"/>
        </w:rPr>
        <w:t>&lt;Article2&gt;</w:t>
      </w:r>
      <w:r w:rsidRPr="008C7353">
        <w:rPr>
          <w:lang w:val="fr-FR"/>
        </w:rPr>
        <w:t>Art</w:t>
      </w:r>
      <w:r w:rsidR="00E33574" w:rsidRPr="008C7353">
        <w:rPr>
          <w:lang w:val="fr-FR"/>
        </w:rPr>
        <w:t>icle 29a – paragraph 2 – point f</w:t>
      </w:r>
      <w:r w:rsidRPr="008C7353">
        <w:rPr>
          <w:lang w:val="fr-FR"/>
        </w:rPr>
        <w:t xml:space="preserve"> – point ii</w:t>
      </w:r>
      <w:r w:rsidRPr="008C7353">
        <w:rPr>
          <w:rStyle w:val="HideTWBExt"/>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F129CE" w:rsidRPr="008C7353" w14:paraId="7A720467" w14:textId="77777777" w:rsidTr="007C3CBA">
        <w:trPr>
          <w:jc w:val="center"/>
        </w:trPr>
        <w:tc>
          <w:tcPr>
            <w:tcW w:w="9752" w:type="dxa"/>
            <w:gridSpan w:val="2"/>
          </w:tcPr>
          <w:p w14:paraId="7311518A" w14:textId="77777777" w:rsidR="00F129CE" w:rsidRPr="008C7353" w:rsidRDefault="00F129CE" w:rsidP="005D3964">
            <w:pPr>
              <w:keepNext/>
              <w:rPr>
                <w:lang w:val="fr-FR"/>
              </w:rPr>
            </w:pPr>
          </w:p>
        </w:tc>
      </w:tr>
      <w:tr w:rsidR="00F129CE" w:rsidRPr="00941D7C" w14:paraId="6CB65FFF" w14:textId="77777777" w:rsidTr="007C3CBA">
        <w:trPr>
          <w:jc w:val="center"/>
        </w:trPr>
        <w:tc>
          <w:tcPr>
            <w:tcW w:w="4876" w:type="dxa"/>
            <w:hideMark/>
          </w:tcPr>
          <w:p w14:paraId="031FEB91" w14:textId="77777777" w:rsidR="00F129CE" w:rsidRPr="00941D7C" w:rsidRDefault="00F129CE" w:rsidP="005D3964">
            <w:pPr>
              <w:pStyle w:val="ColumnHeading"/>
              <w:keepNext/>
              <w:rPr>
                <w:lang w:val="en-GB"/>
              </w:rPr>
            </w:pPr>
            <w:r w:rsidRPr="00941D7C">
              <w:rPr>
                <w:lang w:val="en-GB"/>
              </w:rPr>
              <w:t>Present text</w:t>
            </w:r>
          </w:p>
        </w:tc>
        <w:tc>
          <w:tcPr>
            <w:tcW w:w="4876" w:type="dxa"/>
            <w:hideMark/>
          </w:tcPr>
          <w:p w14:paraId="7A9CCECC" w14:textId="77777777" w:rsidR="00F129CE" w:rsidRPr="00941D7C" w:rsidRDefault="00F129CE" w:rsidP="005D3964">
            <w:pPr>
              <w:pStyle w:val="ColumnHeading"/>
              <w:keepNext/>
              <w:rPr>
                <w:lang w:val="en-GB"/>
              </w:rPr>
            </w:pPr>
            <w:r w:rsidRPr="00941D7C">
              <w:rPr>
                <w:lang w:val="en-GB"/>
              </w:rPr>
              <w:t>Amendment</w:t>
            </w:r>
          </w:p>
        </w:tc>
      </w:tr>
      <w:tr w:rsidR="00F129CE" w:rsidRPr="00941D7C" w14:paraId="6FCF44D9" w14:textId="77777777" w:rsidTr="007C3CBA">
        <w:trPr>
          <w:jc w:val="center"/>
        </w:trPr>
        <w:tc>
          <w:tcPr>
            <w:tcW w:w="4876" w:type="dxa"/>
          </w:tcPr>
          <w:p w14:paraId="2B8D9C2B" w14:textId="77777777" w:rsidR="00F129CE" w:rsidRPr="00941D7C" w:rsidRDefault="00F129CE" w:rsidP="005D3964">
            <w:pPr>
              <w:pStyle w:val="Normal6"/>
              <w:rPr>
                <w:lang w:val="en-GB"/>
              </w:rPr>
            </w:pPr>
          </w:p>
        </w:tc>
        <w:tc>
          <w:tcPr>
            <w:tcW w:w="4876" w:type="dxa"/>
            <w:hideMark/>
          </w:tcPr>
          <w:p w14:paraId="72ACF210" w14:textId="2C45835B" w:rsidR="00F129CE" w:rsidRPr="00941D7C" w:rsidRDefault="00F129CE" w:rsidP="00DD0B81">
            <w:pPr>
              <w:pStyle w:val="Normal6"/>
              <w:rPr>
                <w:szCs w:val="24"/>
                <w:lang w:val="en-GB"/>
              </w:rPr>
            </w:pPr>
            <w:r w:rsidRPr="00941D7C">
              <w:rPr>
                <w:b/>
                <w:i/>
                <w:lang w:val="en-GB"/>
              </w:rPr>
              <w:t>(</w:t>
            </w:r>
            <w:r w:rsidR="00E33574" w:rsidRPr="00941D7C">
              <w:rPr>
                <w:b/>
                <w:i/>
                <w:lang w:val="en-GB"/>
              </w:rPr>
              <w:t>ii</w:t>
            </w:r>
            <w:r w:rsidRPr="00941D7C">
              <w:rPr>
                <w:b/>
                <w:i/>
                <w:lang w:val="en-GB"/>
              </w:rPr>
              <w:t>)</w:t>
            </w:r>
            <w:r w:rsidRPr="00941D7C">
              <w:rPr>
                <w:b/>
                <w:i/>
                <w:lang w:val="en-GB"/>
              </w:rPr>
              <w:tab/>
            </w:r>
            <w:r w:rsidR="00DD0B81" w:rsidRPr="00941D7C">
              <w:rPr>
                <w:b/>
                <w:i/>
                <w:lang w:val="en-GB"/>
              </w:rPr>
              <w:t xml:space="preserve">in point (f), </w:t>
            </w:r>
            <w:r w:rsidR="00E33574" w:rsidRPr="00941D7C">
              <w:rPr>
                <w:b/>
                <w:i/>
                <w:lang w:val="en-GB"/>
              </w:rPr>
              <w:t>point (ii) is replaced by the following:</w:t>
            </w:r>
          </w:p>
        </w:tc>
      </w:tr>
      <w:tr w:rsidR="00F129CE" w:rsidRPr="00941D7C" w14:paraId="102DF132" w14:textId="77777777" w:rsidTr="007C3CBA">
        <w:trPr>
          <w:jc w:val="center"/>
        </w:trPr>
        <w:tc>
          <w:tcPr>
            <w:tcW w:w="4876" w:type="dxa"/>
            <w:hideMark/>
          </w:tcPr>
          <w:p w14:paraId="7D912E8A" w14:textId="77777777" w:rsidR="00F129CE" w:rsidRPr="00941D7C" w:rsidRDefault="00F129CE" w:rsidP="005D3964">
            <w:pPr>
              <w:pStyle w:val="Normal6"/>
              <w:rPr>
                <w:lang w:val="en-GB"/>
              </w:rPr>
            </w:pPr>
            <w:r w:rsidRPr="00941D7C">
              <w:rPr>
                <w:lang w:val="en-GB"/>
              </w:rPr>
              <w:t>(ii)</w:t>
            </w:r>
            <w:r w:rsidRPr="00941D7C">
              <w:rPr>
                <w:b/>
                <w:i/>
                <w:lang w:val="en-GB"/>
              </w:rPr>
              <w:tab/>
            </w:r>
            <w:r w:rsidRPr="00941D7C">
              <w:rPr>
                <w:lang w:val="en-GB"/>
              </w:rPr>
              <w:t xml:space="preserve">the principal actual or potential adverse impacts connected with the group’s own operations and with its </w:t>
            </w:r>
            <w:r w:rsidRPr="00941D7C">
              <w:rPr>
                <w:b/>
                <w:i/>
                <w:lang w:val="en-GB"/>
              </w:rPr>
              <w:t>value</w:t>
            </w:r>
            <w:r w:rsidRPr="00941D7C">
              <w:rPr>
                <w:lang w:val="en-GB"/>
              </w:rPr>
              <w:t xml:space="preserve"> chain, including its products and services, its business relationships and its supply chain, actions taken to identify and monitor those impacts, and other adverse impacts which the parent undertaking is required to identify pursuant to other Union requirements to conduct a due diligence process;</w:t>
            </w:r>
          </w:p>
        </w:tc>
        <w:tc>
          <w:tcPr>
            <w:tcW w:w="4876" w:type="dxa"/>
            <w:hideMark/>
          </w:tcPr>
          <w:p w14:paraId="45B3721F" w14:textId="77777777" w:rsidR="00F129CE" w:rsidRPr="00941D7C" w:rsidRDefault="00F129CE" w:rsidP="005D3964">
            <w:pPr>
              <w:pStyle w:val="Normal6"/>
              <w:rPr>
                <w:szCs w:val="24"/>
                <w:lang w:val="en-GB"/>
              </w:rPr>
            </w:pPr>
            <w:r w:rsidRPr="00941D7C">
              <w:rPr>
                <w:b/>
                <w:i/>
                <w:lang w:val="en-GB"/>
              </w:rPr>
              <w:t>‘</w:t>
            </w:r>
            <w:r w:rsidRPr="00941D7C">
              <w:rPr>
                <w:lang w:val="en-GB"/>
              </w:rPr>
              <w:t>(ii)</w:t>
            </w:r>
            <w:r w:rsidRPr="00941D7C">
              <w:rPr>
                <w:lang w:val="en-GB"/>
              </w:rPr>
              <w:tab/>
              <w:t>the principal actual or potential adverse impacts connected with the group’s own operations and with its</w:t>
            </w:r>
            <w:r w:rsidRPr="00941D7C">
              <w:rPr>
                <w:b/>
                <w:i/>
                <w:lang w:val="en-GB"/>
              </w:rPr>
              <w:t xml:space="preserve"> </w:t>
            </w:r>
            <w:r w:rsidRPr="00941D7C">
              <w:rPr>
                <w:lang w:val="en-GB"/>
              </w:rPr>
              <w:t>chain</w:t>
            </w:r>
            <w:r w:rsidRPr="00941D7C">
              <w:rPr>
                <w:b/>
                <w:i/>
                <w:lang w:val="en-GB"/>
              </w:rPr>
              <w:t xml:space="preserve"> of activities</w:t>
            </w:r>
            <w:r w:rsidRPr="00941D7C">
              <w:rPr>
                <w:lang w:val="en-GB"/>
              </w:rPr>
              <w:t>, including its products and services, its business relationships and its supply chain, actions taken to identify and monitor those impacts, and other adverse impacts which the parent undertaking is required to identify pursuant to other Union requirements to conduct a due diligence process;</w:t>
            </w:r>
            <w:r w:rsidRPr="00941D7C">
              <w:rPr>
                <w:b/>
                <w:i/>
                <w:lang w:val="en-GB"/>
              </w:rPr>
              <w:t>’;</w:t>
            </w:r>
          </w:p>
        </w:tc>
      </w:tr>
    </w:tbl>
    <w:p w14:paraId="4D8ACE26" w14:textId="77777777" w:rsidR="00F129CE" w:rsidRPr="00941D7C" w:rsidRDefault="00F129CE" w:rsidP="00F129CE">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6113707A" w14:textId="77777777" w:rsidR="00F129CE" w:rsidRPr="00941D7C" w:rsidRDefault="00F129CE" w:rsidP="00F129CE">
      <w:r w:rsidRPr="00941D7C">
        <w:rPr>
          <w:rStyle w:val="HideTWBExt"/>
        </w:rPr>
        <w:t>&lt;/Amend&gt;</w:t>
      </w:r>
    </w:p>
    <w:p w14:paraId="41CEEF02" w14:textId="01CD17F3"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39</w:t>
      </w:r>
      <w:r w:rsidRPr="00941D7C">
        <w:rPr>
          <w:rStyle w:val="HideTWBExt"/>
          <w:lang w:val="en-GB"/>
        </w:rPr>
        <w:t>&lt;/NumAm&gt;</w:t>
      </w:r>
    </w:p>
    <w:p w14:paraId="3AB3EEC7"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23DC13F9"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2 – paragraph 1 – point 4 – point b – point i</w:t>
      </w:r>
      <w:r w:rsidRPr="008C7353">
        <w:rPr>
          <w:rStyle w:val="HideTWBExt"/>
          <w:lang w:val="fr-FR"/>
        </w:rPr>
        <w:t>&lt;/Article&gt;</w:t>
      </w:r>
    </w:p>
    <w:p w14:paraId="4CF6FC77" w14:textId="77777777" w:rsidR="00EE4038" w:rsidRPr="00941D7C" w:rsidRDefault="00EE4038" w:rsidP="00EE4038">
      <w:pPr>
        <w:keepNext/>
      </w:pPr>
      <w:r w:rsidRPr="00941D7C">
        <w:rPr>
          <w:rStyle w:val="HideTWBExt"/>
        </w:rPr>
        <w:t>&lt;DocAmend2&gt;</w:t>
      </w:r>
      <w:r w:rsidRPr="00941D7C">
        <w:t>Directive 2013/34/EU</w:t>
      </w:r>
      <w:r w:rsidRPr="00941D7C">
        <w:rPr>
          <w:rStyle w:val="HideTWBExt"/>
        </w:rPr>
        <w:t>&lt;/DocAmend2&gt;</w:t>
      </w:r>
    </w:p>
    <w:p w14:paraId="3A40463C" w14:textId="77777777" w:rsidR="00EE4038" w:rsidRPr="00941D7C" w:rsidRDefault="00EE4038" w:rsidP="00EE4038">
      <w:r w:rsidRPr="00941D7C">
        <w:rPr>
          <w:rStyle w:val="HideTWBExt"/>
        </w:rPr>
        <w:t>&lt;Article2&gt;</w:t>
      </w:r>
      <w:r w:rsidRPr="00941D7C">
        <w:t>Article 29a – paragraph 3 – subparagraph 1</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1948D9B8" w14:textId="77777777" w:rsidTr="00EE4038">
        <w:trPr>
          <w:jc w:val="center"/>
        </w:trPr>
        <w:tc>
          <w:tcPr>
            <w:tcW w:w="9752" w:type="dxa"/>
            <w:gridSpan w:val="2"/>
          </w:tcPr>
          <w:p w14:paraId="4ED33FF1" w14:textId="77777777" w:rsidR="00EE4038" w:rsidRPr="00941D7C" w:rsidRDefault="00EE4038">
            <w:pPr>
              <w:keepNext/>
            </w:pPr>
          </w:p>
        </w:tc>
      </w:tr>
      <w:tr w:rsidR="00EE4038" w:rsidRPr="00941D7C" w14:paraId="51F4CDBA" w14:textId="77777777" w:rsidTr="00EE4038">
        <w:trPr>
          <w:jc w:val="center"/>
        </w:trPr>
        <w:tc>
          <w:tcPr>
            <w:tcW w:w="4876" w:type="dxa"/>
            <w:hideMark/>
          </w:tcPr>
          <w:p w14:paraId="1AD5212B"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7D66205F" w14:textId="77777777" w:rsidR="00EE4038" w:rsidRPr="00941D7C" w:rsidRDefault="00EE4038">
            <w:pPr>
              <w:pStyle w:val="ColumnHeading"/>
              <w:keepNext/>
              <w:rPr>
                <w:lang w:val="en-GB"/>
              </w:rPr>
            </w:pPr>
            <w:r w:rsidRPr="00941D7C">
              <w:rPr>
                <w:lang w:val="en-GB"/>
              </w:rPr>
              <w:t>Amendment</w:t>
            </w:r>
          </w:p>
        </w:tc>
      </w:tr>
      <w:tr w:rsidR="00EE4038" w:rsidRPr="00941D7C" w14:paraId="15E14484" w14:textId="77777777" w:rsidTr="00EE4038">
        <w:trPr>
          <w:jc w:val="center"/>
        </w:trPr>
        <w:tc>
          <w:tcPr>
            <w:tcW w:w="4876" w:type="dxa"/>
            <w:hideMark/>
          </w:tcPr>
          <w:p w14:paraId="37854418" w14:textId="77777777" w:rsidR="00EE4038" w:rsidRPr="00941D7C" w:rsidRDefault="00EE4038">
            <w:pPr>
              <w:pStyle w:val="Normal6"/>
              <w:rPr>
                <w:lang w:val="en-GB"/>
              </w:rPr>
            </w:pPr>
            <w:r w:rsidRPr="00941D7C">
              <w:rPr>
                <w:lang w:val="en-GB"/>
              </w:rPr>
              <w:t xml:space="preserve">Where applicable, the information referred to in paragraphs 1 and 2 shall contain information about the group’s own operations and about its </w:t>
            </w:r>
            <w:r w:rsidRPr="00941D7C">
              <w:rPr>
                <w:b/>
                <w:i/>
                <w:lang w:val="en-GB"/>
              </w:rPr>
              <w:t>value</w:t>
            </w:r>
            <w:r w:rsidRPr="00941D7C">
              <w:rPr>
                <w:lang w:val="en-GB"/>
              </w:rPr>
              <w:t xml:space="preserve"> chain, including its products and services, its business relationships and its supply chain. Member States shall ensure that, for the reporting of sustainability information as required by this Directive, undertakings do not seek to obtain from undertakings in their </w:t>
            </w:r>
            <w:r w:rsidRPr="00941D7C">
              <w:rPr>
                <w:b/>
                <w:i/>
                <w:lang w:val="en-GB"/>
              </w:rPr>
              <w:t>value</w:t>
            </w:r>
            <w:r w:rsidRPr="00941D7C">
              <w:rPr>
                <w:lang w:val="en-GB"/>
              </w:rPr>
              <w:t xml:space="preserve"> chain which, on their balance sheet dates, do not exceed the average number of </w:t>
            </w:r>
            <w:r w:rsidRPr="00941D7C">
              <w:rPr>
                <w:b/>
                <w:i/>
                <w:lang w:val="en-GB"/>
              </w:rPr>
              <w:t>1000</w:t>
            </w:r>
            <w:r w:rsidRPr="00941D7C">
              <w:rPr>
                <w:lang w:val="en-GB"/>
              </w:rPr>
              <w:t xml:space="preserve"> employees during the financial year any information that exceeds the information specified in the standards for voluntary use referred to in Article 29ca, except for additional sustainability information that is commonly shared between undertakings in the sector concerned. Undertakings that report the necessary </w:t>
            </w:r>
            <w:r w:rsidRPr="00941D7C">
              <w:rPr>
                <w:b/>
                <w:i/>
                <w:lang w:val="en-GB"/>
              </w:rPr>
              <w:t>value</w:t>
            </w:r>
            <w:r w:rsidRPr="00941D7C">
              <w:rPr>
                <w:lang w:val="en-GB"/>
              </w:rPr>
              <w:t xml:space="preserve"> chain </w:t>
            </w:r>
            <w:r w:rsidRPr="00941D7C">
              <w:rPr>
                <w:b/>
                <w:i/>
                <w:lang w:val="en-GB"/>
              </w:rPr>
              <w:t>information</w:t>
            </w:r>
            <w:r w:rsidRPr="00941D7C">
              <w:rPr>
                <w:lang w:val="en-GB"/>
              </w:rPr>
              <w:t xml:space="preserve"> without reporting from undertakings in their </w:t>
            </w:r>
            <w:r w:rsidRPr="00941D7C">
              <w:rPr>
                <w:b/>
                <w:i/>
                <w:lang w:val="en-GB"/>
              </w:rPr>
              <w:t>value</w:t>
            </w:r>
            <w:r w:rsidRPr="00941D7C">
              <w:rPr>
                <w:lang w:val="en-GB"/>
              </w:rPr>
              <w:t xml:space="preserve"> chain which, on their balance sheet dates, do not exceed the average number of </w:t>
            </w:r>
            <w:r w:rsidRPr="00941D7C">
              <w:rPr>
                <w:b/>
                <w:i/>
                <w:lang w:val="en-GB"/>
              </w:rPr>
              <w:t>1000</w:t>
            </w:r>
            <w:r w:rsidRPr="00941D7C">
              <w:rPr>
                <w:lang w:val="en-GB"/>
              </w:rPr>
              <w:t xml:space="preserve"> employees during the financial year any information that exceeds the information specified in the standards for voluntary use referred to in Article 29ca, except for additional sustainability information that is commonly shared between undertakings in the sector concerned, shall be deemed to have complied with the obligation to report </w:t>
            </w:r>
            <w:r w:rsidRPr="00941D7C">
              <w:rPr>
                <w:b/>
                <w:i/>
                <w:lang w:val="en-GB"/>
              </w:rPr>
              <w:t>value</w:t>
            </w:r>
            <w:r w:rsidRPr="00941D7C">
              <w:rPr>
                <w:lang w:val="en-GB"/>
              </w:rPr>
              <w:t xml:space="preserve"> chain </w:t>
            </w:r>
            <w:r w:rsidRPr="00941D7C">
              <w:rPr>
                <w:b/>
                <w:i/>
                <w:lang w:val="en-GB"/>
              </w:rPr>
              <w:t>information</w:t>
            </w:r>
            <w:r w:rsidRPr="00941D7C">
              <w:rPr>
                <w:lang w:val="en-GB"/>
              </w:rPr>
              <w:t xml:space="preserve"> set out in this paragraph.;</w:t>
            </w:r>
          </w:p>
        </w:tc>
        <w:tc>
          <w:tcPr>
            <w:tcW w:w="4876" w:type="dxa"/>
            <w:hideMark/>
          </w:tcPr>
          <w:p w14:paraId="0E92194C" w14:textId="132B6252" w:rsidR="00EE4038" w:rsidRPr="00941D7C" w:rsidRDefault="00EE4038" w:rsidP="00310AD4">
            <w:pPr>
              <w:pStyle w:val="Normal6"/>
              <w:rPr>
                <w:szCs w:val="24"/>
                <w:lang w:val="en-GB"/>
              </w:rPr>
            </w:pPr>
            <w:r w:rsidRPr="00941D7C">
              <w:rPr>
                <w:lang w:val="en-GB"/>
              </w:rPr>
              <w:t xml:space="preserve">Where applicable, the information referred to in paragraphs 1 and 2 shall contain information about the group’s own operations and about its chain </w:t>
            </w:r>
            <w:r w:rsidRPr="00941D7C">
              <w:rPr>
                <w:b/>
                <w:i/>
                <w:lang w:val="en-GB"/>
              </w:rPr>
              <w:t>of activities</w:t>
            </w:r>
            <w:r w:rsidRPr="00941D7C">
              <w:rPr>
                <w:lang w:val="en-GB"/>
              </w:rPr>
              <w:t xml:space="preserve">, including its products and services, its business relationships and its supply chain. Member States shall ensure that, for the reporting of sustainability information as required by this Directive, undertakings do not seek to obtain from undertakings in their chain </w:t>
            </w:r>
            <w:r w:rsidRPr="00941D7C">
              <w:rPr>
                <w:b/>
                <w:i/>
                <w:lang w:val="en-GB"/>
              </w:rPr>
              <w:t>of activities</w:t>
            </w:r>
            <w:r w:rsidRPr="00941D7C">
              <w:rPr>
                <w:lang w:val="en-GB"/>
              </w:rPr>
              <w:t xml:space="preserve"> which, on their balance sheet dates, do not exceed the average number of </w:t>
            </w:r>
            <w:r w:rsidRPr="00941D7C">
              <w:rPr>
                <w:b/>
                <w:i/>
                <w:lang w:val="en-GB"/>
              </w:rPr>
              <w:t>3000</w:t>
            </w:r>
            <w:r w:rsidRPr="00941D7C">
              <w:rPr>
                <w:lang w:val="en-GB"/>
              </w:rPr>
              <w:t xml:space="preserve"> employees </w:t>
            </w:r>
            <w:r w:rsidRPr="00941D7C">
              <w:rPr>
                <w:b/>
                <w:i/>
                <w:lang w:val="en-GB"/>
              </w:rPr>
              <w:t>and a net turnover of EUR 450 000 000</w:t>
            </w:r>
            <w:r w:rsidRPr="00941D7C">
              <w:rPr>
                <w:lang w:val="en-GB"/>
              </w:rPr>
              <w:t xml:space="preserve"> during the financial year any information that exceeds the information specified in the standards for voluntary use referred to in Article 29ca, except for additional sustainability information that is commonly shared between undertakings in the sector concerned. Undertakings that report the necessary </w:t>
            </w:r>
            <w:r w:rsidR="00DD0B81" w:rsidRPr="00941D7C">
              <w:rPr>
                <w:b/>
                <w:i/>
                <w:lang w:val="en-GB"/>
              </w:rPr>
              <w:t xml:space="preserve">information about their </w:t>
            </w:r>
            <w:r w:rsidRPr="00941D7C">
              <w:rPr>
                <w:lang w:val="en-GB"/>
              </w:rPr>
              <w:t xml:space="preserve">chain </w:t>
            </w:r>
            <w:r w:rsidRPr="00941D7C">
              <w:rPr>
                <w:b/>
                <w:i/>
                <w:lang w:val="en-GB"/>
              </w:rPr>
              <w:t>of activities</w:t>
            </w:r>
            <w:r w:rsidRPr="00941D7C">
              <w:rPr>
                <w:lang w:val="en-GB"/>
              </w:rPr>
              <w:t xml:space="preserve"> without reporting from undertakings in their chain </w:t>
            </w:r>
            <w:r w:rsidRPr="00941D7C">
              <w:rPr>
                <w:b/>
                <w:i/>
                <w:lang w:val="en-GB"/>
              </w:rPr>
              <w:t>of activities</w:t>
            </w:r>
            <w:r w:rsidRPr="00941D7C">
              <w:rPr>
                <w:lang w:val="en-GB"/>
              </w:rPr>
              <w:t xml:space="preserve"> which, on their balance sheet dates, do not exceed the average number of </w:t>
            </w:r>
            <w:r w:rsidRPr="00941D7C">
              <w:rPr>
                <w:b/>
                <w:i/>
                <w:lang w:val="en-GB"/>
              </w:rPr>
              <w:t>3000</w:t>
            </w:r>
            <w:r w:rsidRPr="00941D7C">
              <w:rPr>
                <w:lang w:val="en-GB"/>
              </w:rPr>
              <w:t xml:space="preserve"> employees </w:t>
            </w:r>
            <w:r w:rsidRPr="00941D7C">
              <w:rPr>
                <w:b/>
                <w:i/>
                <w:lang w:val="en-GB"/>
              </w:rPr>
              <w:t>and a net turnover of EUR 450 000 000</w:t>
            </w:r>
            <w:r w:rsidRPr="00941D7C">
              <w:rPr>
                <w:lang w:val="en-GB"/>
              </w:rPr>
              <w:t xml:space="preserve"> during the financial year any information that exceeds the information specified in the standards for voluntary use referred to in Article 29ca, except for additional sustainability information that is commonly shared between undertakings in the sector concerned, shall be deemed to have complied with the obligation to report </w:t>
            </w:r>
            <w:r w:rsidR="00DD0B81" w:rsidRPr="00941D7C">
              <w:rPr>
                <w:b/>
                <w:i/>
                <w:lang w:val="en-GB"/>
              </w:rPr>
              <w:t xml:space="preserve">information about their </w:t>
            </w:r>
            <w:r w:rsidRPr="00941D7C">
              <w:rPr>
                <w:lang w:val="en-GB"/>
              </w:rPr>
              <w:t xml:space="preserve">chain </w:t>
            </w:r>
            <w:r w:rsidRPr="00941D7C">
              <w:rPr>
                <w:b/>
                <w:i/>
                <w:lang w:val="en-GB"/>
              </w:rPr>
              <w:t>of activities</w:t>
            </w:r>
            <w:r w:rsidRPr="00941D7C">
              <w:rPr>
                <w:lang w:val="en-GB"/>
              </w:rPr>
              <w:t xml:space="preserve"> set out in this paragraph.</w:t>
            </w:r>
          </w:p>
        </w:tc>
      </w:tr>
    </w:tbl>
    <w:p w14:paraId="7E0E2F80"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01414082" w14:textId="77777777" w:rsidR="00EE4038" w:rsidRPr="00941D7C" w:rsidRDefault="00EE4038" w:rsidP="00EE4038">
      <w:r w:rsidRPr="00941D7C">
        <w:rPr>
          <w:rStyle w:val="HideTWBExt"/>
        </w:rPr>
        <w:t>&lt;/Amend&gt;</w:t>
      </w:r>
    </w:p>
    <w:p w14:paraId="3F546A35" w14:textId="0267904D"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40</w:t>
      </w:r>
      <w:r w:rsidRPr="00941D7C">
        <w:rPr>
          <w:rStyle w:val="HideTWBExt"/>
          <w:lang w:val="en-GB"/>
        </w:rPr>
        <w:t>&lt;/NumAm&gt;</w:t>
      </w:r>
    </w:p>
    <w:p w14:paraId="247B48D3"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28A5963A" w14:textId="5A178967" w:rsidR="00EE4038" w:rsidRPr="008C7353" w:rsidRDefault="00EE4038" w:rsidP="00EE4038">
      <w:pPr>
        <w:pStyle w:val="NormalBold"/>
        <w:rPr>
          <w:lang w:val="fr-FR"/>
        </w:rPr>
      </w:pPr>
      <w:r w:rsidRPr="008C7353">
        <w:rPr>
          <w:rStyle w:val="HideTWBExt"/>
          <w:lang w:val="fr-FR"/>
        </w:rPr>
        <w:t>&lt;Article&gt;</w:t>
      </w:r>
      <w:r w:rsidRPr="008C7353">
        <w:rPr>
          <w:lang w:val="fr-FR"/>
        </w:rPr>
        <w:t>Article 2 – paragraph 1 – point 4 – point b – point i a (new)</w:t>
      </w:r>
      <w:r w:rsidRPr="008C7353">
        <w:rPr>
          <w:rStyle w:val="HideTWBExt"/>
          <w:lang w:val="fr-FR"/>
        </w:rPr>
        <w:t>&lt;/Article&gt;</w:t>
      </w:r>
    </w:p>
    <w:p w14:paraId="73810529" w14:textId="77777777" w:rsidR="00EE4038" w:rsidRPr="008C7353" w:rsidRDefault="00EE4038" w:rsidP="00EE4038">
      <w:pPr>
        <w:keepNext/>
        <w:rPr>
          <w:lang w:val="fr-FR"/>
        </w:rPr>
      </w:pPr>
      <w:r w:rsidRPr="008C7353">
        <w:rPr>
          <w:rStyle w:val="HideTWBExt"/>
          <w:lang w:val="fr-FR"/>
        </w:rPr>
        <w:t>&lt;DocAmend2&gt;</w:t>
      </w:r>
      <w:r w:rsidRPr="008C7353">
        <w:rPr>
          <w:lang w:val="fr-FR"/>
        </w:rPr>
        <w:t>Directive 2013/34/EU</w:t>
      </w:r>
      <w:r w:rsidRPr="008C7353">
        <w:rPr>
          <w:rStyle w:val="HideTWBExt"/>
          <w:lang w:val="fr-FR"/>
        </w:rPr>
        <w:t>&lt;/DocAmend2&gt;</w:t>
      </w:r>
    </w:p>
    <w:p w14:paraId="37AFEAC9" w14:textId="77777777" w:rsidR="00EE4038" w:rsidRPr="00941D7C" w:rsidRDefault="00EE4038" w:rsidP="00EE4038">
      <w:r w:rsidRPr="00941D7C">
        <w:rPr>
          <w:rStyle w:val="HideTWBExt"/>
        </w:rPr>
        <w:t>&lt;Article2&gt;</w:t>
      </w:r>
      <w:r w:rsidRPr="00941D7C">
        <w:t>Article 29a – paragraph 3 – subparagraph 2</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05CBC604" w14:textId="77777777" w:rsidTr="00EE4038">
        <w:trPr>
          <w:jc w:val="center"/>
        </w:trPr>
        <w:tc>
          <w:tcPr>
            <w:tcW w:w="9752" w:type="dxa"/>
            <w:gridSpan w:val="2"/>
          </w:tcPr>
          <w:p w14:paraId="72CEE248" w14:textId="77777777" w:rsidR="00EE4038" w:rsidRPr="00941D7C" w:rsidRDefault="00EE4038">
            <w:pPr>
              <w:keepNext/>
            </w:pPr>
          </w:p>
        </w:tc>
      </w:tr>
      <w:tr w:rsidR="00EE4038" w:rsidRPr="00941D7C" w14:paraId="6A368335" w14:textId="77777777" w:rsidTr="00EE4038">
        <w:trPr>
          <w:jc w:val="center"/>
        </w:trPr>
        <w:tc>
          <w:tcPr>
            <w:tcW w:w="4876" w:type="dxa"/>
            <w:hideMark/>
          </w:tcPr>
          <w:p w14:paraId="7578439E" w14:textId="77777777" w:rsidR="00EE4038" w:rsidRPr="00941D7C" w:rsidRDefault="00EE4038">
            <w:pPr>
              <w:pStyle w:val="ColumnHeading"/>
              <w:keepNext/>
              <w:rPr>
                <w:lang w:val="en-GB"/>
              </w:rPr>
            </w:pPr>
            <w:r w:rsidRPr="00941D7C">
              <w:rPr>
                <w:lang w:val="en-GB"/>
              </w:rPr>
              <w:t>Present text</w:t>
            </w:r>
          </w:p>
        </w:tc>
        <w:tc>
          <w:tcPr>
            <w:tcW w:w="4876" w:type="dxa"/>
            <w:hideMark/>
          </w:tcPr>
          <w:p w14:paraId="21C6FF22" w14:textId="77777777" w:rsidR="00EE4038" w:rsidRPr="00941D7C" w:rsidRDefault="00EE4038">
            <w:pPr>
              <w:pStyle w:val="ColumnHeading"/>
              <w:keepNext/>
              <w:rPr>
                <w:lang w:val="en-GB"/>
              </w:rPr>
            </w:pPr>
            <w:r w:rsidRPr="00941D7C">
              <w:rPr>
                <w:lang w:val="en-GB"/>
              </w:rPr>
              <w:t>Amendment</w:t>
            </w:r>
          </w:p>
        </w:tc>
      </w:tr>
      <w:tr w:rsidR="00EE4038" w:rsidRPr="00941D7C" w14:paraId="39A43CE5" w14:textId="77777777" w:rsidTr="00EE4038">
        <w:trPr>
          <w:jc w:val="center"/>
        </w:trPr>
        <w:tc>
          <w:tcPr>
            <w:tcW w:w="4876" w:type="dxa"/>
          </w:tcPr>
          <w:p w14:paraId="48546983" w14:textId="77777777" w:rsidR="00EE4038" w:rsidRPr="00941D7C" w:rsidRDefault="00EE4038">
            <w:pPr>
              <w:pStyle w:val="Normal6"/>
              <w:rPr>
                <w:lang w:val="en-GB"/>
              </w:rPr>
            </w:pPr>
          </w:p>
        </w:tc>
        <w:tc>
          <w:tcPr>
            <w:tcW w:w="4876" w:type="dxa"/>
            <w:hideMark/>
          </w:tcPr>
          <w:p w14:paraId="69609796" w14:textId="53FF0D6F" w:rsidR="00EE4038" w:rsidRPr="00941D7C" w:rsidRDefault="00EE4038">
            <w:pPr>
              <w:pStyle w:val="Normal6"/>
              <w:rPr>
                <w:szCs w:val="24"/>
                <w:lang w:val="en-GB"/>
              </w:rPr>
            </w:pPr>
            <w:r w:rsidRPr="00941D7C">
              <w:rPr>
                <w:b/>
                <w:i/>
                <w:lang w:val="en-GB"/>
              </w:rPr>
              <w:t>(</w:t>
            </w:r>
            <w:proofErr w:type="spellStart"/>
            <w:r w:rsidRPr="00941D7C">
              <w:rPr>
                <w:b/>
                <w:i/>
                <w:lang w:val="en-GB"/>
              </w:rPr>
              <w:t>ia</w:t>
            </w:r>
            <w:proofErr w:type="spellEnd"/>
            <w:r w:rsidRPr="00941D7C">
              <w:rPr>
                <w:b/>
                <w:i/>
                <w:lang w:val="en-GB"/>
              </w:rPr>
              <w:t>)</w:t>
            </w:r>
            <w:r w:rsidRPr="00941D7C">
              <w:rPr>
                <w:b/>
                <w:i/>
                <w:lang w:val="en-GB"/>
              </w:rPr>
              <w:tab/>
              <w:t>the second subparagraph is replaced by the following:</w:t>
            </w:r>
          </w:p>
        </w:tc>
      </w:tr>
      <w:tr w:rsidR="00EE4038" w:rsidRPr="00941D7C" w14:paraId="0F60451D" w14:textId="77777777" w:rsidTr="00EE4038">
        <w:trPr>
          <w:jc w:val="center"/>
        </w:trPr>
        <w:tc>
          <w:tcPr>
            <w:tcW w:w="4876" w:type="dxa"/>
            <w:hideMark/>
          </w:tcPr>
          <w:p w14:paraId="6CC0EA24" w14:textId="77777777" w:rsidR="00EE4038" w:rsidRPr="00941D7C" w:rsidRDefault="00EE4038">
            <w:pPr>
              <w:pStyle w:val="Normal6"/>
              <w:rPr>
                <w:lang w:val="en-GB"/>
              </w:rPr>
            </w:pPr>
            <w:r w:rsidRPr="00941D7C">
              <w:rPr>
                <w:b/>
                <w:i/>
                <w:lang w:val="en-GB"/>
              </w:rPr>
              <w:t xml:space="preserve">For the first three years of the application of the measures to be adopted by the Member States in accordance with Article 5(2) of Directive (EU) 2022/2464, and in the event that not all the necessary information regarding its value chain </w:t>
            </w:r>
            <w:r w:rsidRPr="00941D7C">
              <w:rPr>
                <w:lang w:val="en-GB"/>
              </w:rPr>
              <w:t xml:space="preserve">is available, the parent undertaking shall explain the efforts made to obtain the necessary information about its </w:t>
            </w:r>
            <w:r w:rsidRPr="00941D7C">
              <w:rPr>
                <w:b/>
                <w:i/>
                <w:lang w:val="en-GB"/>
              </w:rPr>
              <w:t>value</w:t>
            </w:r>
            <w:r w:rsidRPr="00941D7C">
              <w:rPr>
                <w:lang w:val="en-GB"/>
              </w:rPr>
              <w:t xml:space="preserve"> chain, the reasons why not all of the necessary information could be obtained, and its plans to obtain the necessary information in the future.</w:t>
            </w:r>
          </w:p>
        </w:tc>
        <w:tc>
          <w:tcPr>
            <w:tcW w:w="4876" w:type="dxa"/>
            <w:hideMark/>
          </w:tcPr>
          <w:p w14:paraId="3FE355D3" w14:textId="77777777" w:rsidR="00EE4038" w:rsidRPr="00941D7C" w:rsidRDefault="00EE4038">
            <w:pPr>
              <w:pStyle w:val="Normal6"/>
              <w:rPr>
                <w:szCs w:val="24"/>
                <w:lang w:val="en-GB"/>
              </w:rPr>
            </w:pPr>
            <w:r w:rsidRPr="00941D7C">
              <w:rPr>
                <w:b/>
                <w:i/>
                <w:lang w:val="en-GB"/>
              </w:rPr>
              <w:t xml:space="preserve">‘In the event that not all the necessary information regarding its chain of activities </w:t>
            </w:r>
            <w:r w:rsidRPr="00941D7C">
              <w:rPr>
                <w:lang w:val="en-GB"/>
              </w:rPr>
              <w:t xml:space="preserve">is available, the parent undertaking shall explain the efforts made to obtain the necessary information about its </w:t>
            </w:r>
            <w:r w:rsidRPr="00941D7C">
              <w:rPr>
                <w:b/>
                <w:i/>
                <w:lang w:val="en-GB"/>
              </w:rPr>
              <w:t>chain of activities</w:t>
            </w:r>
            <w:r w:rsidRPr="00941D7C">
              <w:rPr>
                <w:lang w:val="en-GB"/>
              </w:rPr>
              <w:t>, the reasons why not all of the necessary information could be obtained, and its plans to obtain the necessary information in the future.</w:t>
            </w:r>
            <w:r w:rsidRPr="00941D7C">
              <w:rPr>
                <w:b/>
                <w:i/>
                <w:lang w:val="en-GB"/>
              </w:rPr>
              <w:t>’;</w:t>
            </w:r>
          </w:p>
        </w:tc>
      </w:tr>
    </w:tbl>
    <w:p w14:paraId="7B482B9E"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1ABE548C" w14:textId="77777777" w:rsidR="00EE4038" w:rsidRPr="00941D7C" w:rsidRDefault="00EE4038" w:rsidP="00EE4038">
      <w:r w:rsidRPr="00941D7C">
        <w:rPr>
          <w:rStyle w:val="HideTWBExt"/>
        </w:rPr>
        <w:t>&lt;/Amend&gt;</w:t>
      </w:r>
    </w:p>
    <w:p w14:paraId="12BE33FD" w14:textId="7AB34412"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41</w:t>
      </w:r>
      <w:r w:rsidRPr="00941D7C">
        <w:rPr>
          <w:rStyle w:val="HideTWBExt"/>
          <w:lang w:val="en-GB"/>
        </w:rPr>
        <w:t>&lt;/NumAm&gt;</w:t>
      </w:r>
    </w:p>
    <w:p w14:paraId="25DD1C12"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2E8AA9FE" w14:textId="2FDB9D2B" w:rsidR="00EE4038" w:rsidRPr="008C7353" w:rsidRDefault="00EE4038" w:rsidP="00EE4038">
      <w:pPr>
        <w:pStyle w:val="NormalBold"/>
        <w:rPr>
          <w:lang w:val="fr-FR"/>
        </w:rPr>
      </w:pPr>
      <w:r w:rsidRPr="008C7353">
        <w:rPr>
          <w:rStyle w:val="HideTWBExt"/>
          <w:lang w:val="fr-FR"/>
        </w:rPr>
        <w:t>&lt;Article&gt;</w:t>
      </w:r>
      <w:r w:rsidRPr="008C7353">
        <w:rPr>
          <w:lang w:val="fr-FR"/>
        </w:rPr>
        <w:t xml:space="preserve">Article 2 – paragraph 1 – point 4 – point b – point ii </w:t>
      </w:r>
      <w:r w:rsidRPr="008C7353">
        <w:rPr>
          <w:rStyle w:val="HideTWBExt"/>
          <w:lang w:val="fr-FR"/>
        </w:rPr>
        <w:t>&lt;/Article&gt;</w:t>
      </w:r>
    </w:p>
    <w:p w14:paraId="18A84BBE" w14:textId="77777777" w:rsidR="00EE4038" w:rsidRPr="00941D7C" w:rsidRDefault="00EE4038" w:rsidP="00EE4038">
      <w:pPr>
        <w:keepNext/>
      </w:pPr>
      <w:r w:rsidRPr="00941D7C">
        <w:rPr>
          <w:rStyle w:val="HideTWBExt"/>
        </w:rPr>
        <w:t>&lt;DocAmend2&gt;</w:t>
      </w:r>
      <w:r w:rsidRPr="00941D7C">
        <w:t>Directive 2013/34/EU</w:t>
      </w:r>
      <w:r w:rsidRPr="00941D7C">
        <w:rPr>
          <w:rStyle w:val="HideTWBExt"/>
        </w:rPr>
        <w:t>&lt;/DocAmend2&gt;</w:t>
      </w:r>
    </w:p>
    <w:p w14:paraId="0B6E8308" w14:textId="17294DA5" w:rsidR="00EE4038" w:rsidRPr="00941D7C" w:rsidRDefault="00EE4038" w:rsidP="00EE4038">
      <w:r w:rsidRPr="00941D7C">
        <w:rPr>
          <w:rStyle w:val="HideTWBExt"/>
        </w:rPr>
        <w:t>&lt;Article2&gt;</w:t>
      </w:r>
      <w:r w:rsidRPr="00941D7C">
        <w:t xml:space="preserve">Article 29a – paragraph 3 – subparagraph </w:t>
      </w:r>
      <w:r w:rsidR="00757323" w:rsidRPr="00941D7C">
        <w:t>5</w:t>
      </w:r>
      <w:r w:rsidR="004D7AB7" w:rsidRPr="00941D7C">
        <w:t xml:space="preserve"> </w:t>
      </w:r>
      <w:r w:rsidRPr="00941D7C">
        <w:t>a</w:t>
      </w:r>
      <w:r w:rsidR="004D7AB7" w:rsidRPr="00941D7C">
        <w:t xml:space="preserve"> </w:t>
      </w:r>
      <w:r w:rsidRPr="00941D7C">
        <w:t>(new)</w:t>
      </w:r>
      <w:r w:rsidRPr="00941D7C">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4BC2560B" w14:textId="77777777" w:rsidTr="007C3CBA">
        <w:trPr>
          <w:jc w:val="center"/>
        </w:trPr>
        <w:tc>
          <w:tcPr>
            <w:tcW w:w="9752" w:type="dxa"/>
            <w:gridSpan w:val="2"/>
          </w:tcPr>
          <w:p w14:paraId="29A57691" w14:textId="77777777" w:rsidR="00EE4038" w:rsidRPr="00941D7C" w:rsidRDefault="00EE4038">
            <w:pPr>
              <w:keepNext/>
            </w:pPr>
          </w:p>
        </w:tc>
      </w:tr>
      <w:tr w:rsidR="00EE4038" w:rsidRPr="00941D7C" w14:paraId="67F58B33" w14:textId="77777777" w:rsidTr="007C3CBA">
        <w:trPr>
          <w:jc w:val="center"/>
        </w:trPr>
        <w:tc>
          <w:tcPr>
            <w:tcW w:w="4876" w:type="dxa"/>
            <w:hideMark/>
          </w:tcPr>
          <w:p w14:paraId="796BB4C4"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3402BC10" w14:textId="77777777" w:rsidR="00EE4038" w:rsidRPr="00941D7C" w:rsidRDefault="00EE4038">
            <w:pPr>
              <w:pStyle w:val="ColumnHeading"/>
              <w:keepNext/>
              <w:rPr>
                <w:lang w:val="en-GB"/>
              </w:rPr>
            </w:pPr>
            <w:r w:rsidRPr="00941D7C">
              <w:rPr>
                <w:lang w:val="en-GB"/>
              </w:rPr>
              <w:t>Amendment</w:t>
            </w:r>
          </w:p>
        </w:tc>
      </w:tr>
      <w:tr w:rsidR="00EE4038" w:rsidRPr="00941D7C" w14:paraId="138BDAA1" w14:textId="77777777" w:rsidTr="007C3CBA">
        <w:trPr>
          <w:jc w:val="center"/>
        </w:trPr>
        <w:tc>
          <w:tcPr>
            <w:tcW w:w="4876" w:type="dxa"/>
          </w:tcPr>
          <w:p w14:paraId="139676D4" w14:textId="77777777" w:rsidR="00EE4038" w:rsidRPr="00941D7C" w:rsidRDefault="00EE4038">
            <w:pPr>
              <w:pStyle w:val="Normal6"/>
              <w:rPr>
                <w:lang w:val="en-GB"/>
              </w:rPr>
            </w:pPr>
          </w:p>
        </w:tc>
        <w:tc>
          <w:tcPr>
            <w:tcW w:w="4876" w:type="dxa"/>
            <w:hideMark/>
          </w:tcPr>
          <w:p w14:paraId="0E59512D" w14:textId="73D20D15" w:rsidR="00EE4038" w:rsidRPr="00941D7C" w:rsidRDefault="00EE4038" w:rsidP="00DD0B81">
            <w:pPr>
              <w:pStyle w:val="Normal6"/>
              <w:rPr>
                <w:szCs w:val="24"/>
                <w:lang w:val="en-GB"/>
              </w:rPr>
            </w:pPr>
            <w:r w:rsidRPr="00941D7C">
              <w:rPr>
                <w:b/>
                <w:i/>
                <w:lang w:val="en-GB"/>
              </w:rPr>
              <w:t>‘</w:t>
            </w:r>
            <w:r w:rsidR="00DD0B81" w:rsidRPr="00941D7C">
              <w:rPr>
                <w:b/>
                <w:i/>
                <w:lang w:val="en-GB"/>
              </w:rPr>
              <w:t>The reporting obligations set out in this Article are without prejudice to Directive (EU) 2016/943. Therefore, u</w:t>
            </w:r>
            <w:r w:rsidRPr="00941D7C">
              <w:rPr>
                <w:b/>
                <w:i/>
                <w:lang w:val="en-GB"/>
              </w:rPr>
              <w:t xml:space="preserve">ndertakings shall not be required to disclose </w:t>
            </w:r>
            <w:r w:rsidR="00DD0B81" w:rsidRPr="00941D7C">
              <w:rPr>
                <w:b/>
                <w:i/>
                <w:lang w:val="en-GB"/>
              </w:rPr>
              <w:t xml:space="preserve">information on </w:t>
            </w:r>
            <w:r w:rsidRPr="00941D7C">
              <w:rPr>
                <w:b/>
                <w:i/>
                <w:lang w:val="en-GB"/>
              </w:rPr>
              <w:t>intellectual capital, intellectual property</w:t>
            </w:r>
            <w:r w:rsidR="00DD0B81" w:rsidRPr="00941D7C">
              <w:rPr>
                <w:b/>
                <w:i/>
                <w:lang w:val="en-GB"/>
              </w:rPr>
              <w:t xml:space="preserve"> or</w:t>
            </w:r>
            <w:r w:rsidRPr="00941D7C">
              <w:rPr>
                <w:b/>
                <w:i/>
                <w:lang w:val="en-GB"/>
              </w:rPr>
              <w:t xml:space="preserve"> know</w:t>
            </w:r>
            <w:r w:rsidR="00DD0B81" w:rsidRPr="00941D7C">
              <w:rPr>
                <w:b/>
                <w:i/>
                <w:lang w:val="en-GB"/>
              </w:rPr>
              <w:t xml:space="preserve"> </w:t>
            </w:r>
            <w:r w:rsidRPr="00941D7C">
              <w:rPr>
                <w:b/>
                <w:i/>
                <w:lang w:val="en-GB"/>
              </w:rPr>
              <w:t xml:space="preserve">how, business information </w:t>
            </w:r>
            <w:r w:rsidR="00DD0B81" w:rsidRPr="00941D7C">
              <w:rPr>
                <w:b/>
                <w:i/>
                <w:lang w:val="en-GB"/>
              </w:rPr>
              <w:t xml:space="preserve">or </w:t>
            </w:r>
            <w:r w:rsidRPr="00941D7C">
              <w:rPr>
                <w:b/>
                <w:i/>
                <w:lang w:val="en-GB"/>
              </w:rPr>
              <w:t xml:space="preserve">technological information </w:t>
            </w:r>
            <w:r w:rsidR="00DD0B81" w:rsidRPr="00941D7C">
              <w:rPr>
                <w:b/>
                <w:i/>
                <w:lang w:val="en-GB"/>
              </w:rPr>
              <w:t xml:space="preserve">which constitutes </w:t>
            </w:r>
            <w:r w:rsidRPr="00941D7C">
              <w:rPr>
                <w:b/>
                <w:i/>
                <w:lang w:val="en-GB"/>
              </w:rPr>
              <w:t xml:space="preserve">trade secrets as defined in </w:t>
            </w:r>
            <w:r w:rsidR="00DD0B81" w:rsidRPr="00941D7C">
              <w:rPr>
                <w:b/>
                <w:i/>
                <w:lang w:val="en-GB"/>
              </w:rPr>
              <w:t xml:space="preserve">Article 2, point (1), of </w:t>
            </w:r>
            <w:r w:rsidRPr="00941D7C">
              <w:rPr>
                <w:b/>
                <w:i/>
                <w:lang w:val="en-GB"/>
              </w:rPr>
              <w:t>Directive (EU) 2016/943.’</w:t>
            </w:r>
            <w:r w:rsidR="00DD0B81" w:rsidRPr="00941D7C">
              <w:rPr>
                <w:b/>
                <w:i/>
                <w:lang w:val="en-GB"/>
              </w:rPr>
              <w:t>;</w:t>
            </w:r>
          </w:p>
        </w:tc>
      </w:tr>
    </w:tbl>
    <w:p w14:paraId="774F1D90"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312E1DAA" w14:textId="77777777" w:rsidR="00EE4038" w:rsidRPr="00941D7C" w:rsidRDefault="00EE4038" w:rsidP="00EE4038">
      <w:r w:rsidRPr="00941D7C">
        <w:rPr>
          <w:rStyle w:val="HideTWBExt"/>
        </w:rPr>
        <w:t>&lt;/Amend&gt;</w:t>
      </w:r>
    </w:p>
    <w:p w14:paraId="5134E271" w14:textId="5C4CC308"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42</w:t>
      </w:r>
      <w:r w:rsidRPr="00941D7C">
        <w:rPr>
          <w:rStyle w:val="HideTWBExt"/>
          <w:lang w:val="en-GB"/>
        </w:rPr>
        <w:t>&lt;/NumAm&gt;</w:t>
      </w:r>
    </w:p>
    <w:p w14:paraId="74DFE12A"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4BCDF979"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2 – paragraph 1 – point 4 – point b a (new)</w:t>
      </w:r>
      <w:r w:rsidRPr="008C7353">
        <w:rPr>
          <w:rStyle w:val="HideTWBExt"/>
          <w:lang w:val="fr-FR"/>
        </w:rPr>
        <w:t>&lt;/Article&gt;</w:t>
      </w:r>
    </w:p>
    <w:p w14:paraId="37E8827B" w14:textId="77777777" w:rsidR="00EE4038" w:rsidRPr="00941D7C" w:rsidRDefault="00EE4038" w:rsidP="00EE4038">
      <w:pPr>
        <w:keepNext/>
      </w:pPr>
      <w:r w:rsidRPr="00941D7C">
        <w:rPr>
          <w:rStyle w:val="HideTWBExt"/>
        </w:rPr>
        <w:t>&lt;DocAmend2&gt;</w:t>
      </w:r>
      <w:r w:rsidRPr="00941D7C">
        <w:t>Directive 2013/34/EU</w:t>
      </w:r>
      <w:r w:rsidRPr="00941D7C">
        <w:rPr>
          <w:rStyle w:val="HideTWBExt"/>
        </w:rPr>
        <w:t>&lt;/DocAmend2&gt;</w:t>
      </w:r>
    </w:p>
    <w:p w14:paraId="6DE27542" w14:textId="77777777" w:rsidR="00EE4038" w:rsidRPr="00941D7C" w:rsidRDefault="00EE4038" w:rsidP="00EE4038">
      <w:r w:rsidRPr="00941D7C">
        <w:rPr>
          <w:rStyle w:val="HideTWBExt"/>
        </w:rPr>
        <w:t>&lt;Article2&gt;</w:t>
      </w:r>
      <w:r w:rsidRPr="00941D7C">
        <w:t>Article 29a – paragraph 9</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1854BF84" w14:textId="77777777" w:rsidTr="00EE4038">
        <w:trPr>
          <w:jc w:val="center"/>
        </w:trPr>
        <w:tc>
          <w:tcPr>
            <w:tcW w:w="9752" w:type="dxa"/>
            <w:gridSpan w:val="2"/>
          </w:tcPr>
          <w:p w14:paraId="23B9573F" w14:textId="77777777" w:rsidR="00EE4038" w:rsidRPr="00941D7C" w:rsidRDefault="00EE4038">
            <w:pPr>
              <w:keepNext/>
            </w:pPr>
          </w:p>
        </w:tc>
      </w:tr>
      <w:tr w:rsidR="00EE4038" w:rsidRPr="00941D7C" w14:paraId="219540D3" w14:textId="77777777" w:rsidTr="00EE4038">
        <w:trPr>
          <w:jc w:val="center"/>
        </w:trPr>
        <w:tc>
          <w:tcPr>
            <w:tcW w:w="4876" w:type="dxa"/>
            <w:hideMark/>
          </w:tcPr>
          <w:p w14:paraId="0643E434" w14:textId="77777777" w:rsidR="00EE4038" w:rsidRPr="00941D7C" w:rsidRDefault="00EE4038">
            <w:pPr>
              <w:pStyle w:val="ColumnHeading"/>
              <w:keepNext/>
              <w:rPr>
                <w:lang w:val="en-GB"/>
              </w:rPr>
            </w:pPr>
            <w:r w:rsidRPr="00941D7C">
              <w:rPr>
                <w:lang w:val="en-GB"/>
              </w:rPr>
              <w:t>Present text</w:t>
            </w:r>
          </w:p>
        </w:tc>
        <w:tc>
          <w:tcPr>
            <w:tcW w:w="4876" w:type="dxa"/>
            <w:hideMark/>
          </w:tcPr>
          <w:p w14:paraId="759649AC" w14:textId="77777777" w:rsidR="00EE4038" w:rsidRPr="00941D7C" w:rsidRDefault="00EE4038">
            <w:pPr>
              <w:pStyle w:val="ColumnHeading"/>
              <w:keepNext/>
              <w:rPr>
                <w:lang w:val="en-GB"/>
              </w:rPr>
            </w:pPr>
            <w:r w:rsidRPr="00941D7C">
              <w:rPr>
                <w:lang w:val="en-GB"/>
              </w:rPr>
              <w:t>Amendment</w:t>
            </w:r>
          </w:p>
        </w:tc>
      </w:tr>
      <w:tr w:rsidR="00EE4038" w:rsidRPr="00941D7C" w14:paraId="419C9C91" w14:textId="77777777" w:rsidTr="00EE4038">
        <w:trPr>
          <w:jc w:val="center"/>
        </w:trPr>
        <w:tc>
          <w:tcPr>
            <w:tcW w:w="4876" w:type="dxa"/>
          </w:tcPr>
          <w:p w14:paraId="75E4A382" w14:textId="77777777" w:rsidR="00EE4038" w:rsidRPr="00941D7C" w:rsidRDefault="00EE4038">
            <w:pPr>
              <w:pStyle w:val="Normal6"/>
              <w:rPr>
                <w:lang w:val="en-GB"/>
              </w:rPr>
            </w:pPr>
          </w:p>
        </w:tc>
        <w:tc>
          <w:tcPr>
            <w:tcW w:w="4876" w:type="dxa"/>
            <w:hideMark/>
          </w:tcPr>
          <w:p w14:paraId="5F61AFA8" w14:textId="77777777" w:rsidR="00EE4038" w:rsidRPr="00941D7C" w:rsidRDefault="00EE4038">
            <w:pPr>
              <w:pStyle w:val="Normal6"/>
              <w:rPr>
                <w:szCs w:val="24"/>
                <w:lang w:val="en-GB"/>
              </w:rPr>
            </w:pPr>
            <w:r w:rsidRPr="00941D7C">
              <w:rPr>
                <w:b/>
                <w:i/>
                <w:lang w:val="en-GB"/>
              </w:rPr>
              <w:t>(</w:t>
            </w:r>
            <w:proofErr w:type="spellStart"/>
            <w:r w:rsidRPr="00941D7C">
              <w:rPr>
                <w:b/>
                <w:i/>
                <w:lang w:val="en-GB"/>
              </w:rPr>
              <w:t>ba</w:t>
            </w:r>
            <w:proofErr w:type="spellEnd"/>
            <w:r w:rsidRPr="00941D7C">
              <w:rPr>
                <w:b/>
                <w:i/>
                <w:lang w:val="en-GB"/>
              </w:rPr>
              <w:t>)</w:t>
            </w:r>
            <w:r w:rsidRPr="00941D7C">
              <w:rPr>
                <w:b/>
                <w:i/>
                <w:lang w:val="en-GB"/>
              </w:rPr>
              <w:tab/>
              <w:t>paragraph 9 is replaced by the following:</w:t>
            </w:r>
          </w:p>
        </w:tc>
      </w:tr>
      <w:tr w:rsidR="00EE4038" w:rsidRPr="00941D7C" w14:paraId="33FABC42" w14:textId="77777777" w:rsidTr="00EE4038">
        <w:trPr>
          <w:jc w:val="center"/>
        </w:trPr>
        <w:tc>
          <w:tcPr>
            <w:tcW w:w="4876" w:type="dxa"/>
            <w:hideMark/>
          </w:tcPr>
          <w:p w14:paraId="302F4D07" w14:textId="77777777" w:rsidR="00EE4038" w:rsidRPr="00941D7C" w:rsidRDefault="00EE4038">
            <w:pPr>
              <w:pStyle w:val="Normal6"/>
              <w:rPr>
                <w:lang w:val="en-GB"/>
              </w:rPr>
            </w:pPr>
            <w:r w:rsidRPr="00941D7C">
              <w:rPr>
                <w:lang w:val="en-GB"/>
              </w:rPr>
              <w:t>9.</w:t>
            </w:r>
            <w:r w:rsidRPr="00941D7C">
              <w:rPr>
                <w:b/>
                <w:i/>
                <w:lang w:val="en-GB"/>
              </w:rPr>
              <w:tab/>
            </w:r>
            <w:r w:rsidRPr="00941D7C">
              <w:rPr>
                <w:lang w:val="en-GB"/>
              </w:rPr>
              <w:t>The exemption laid down in paragraph 8 shall also apply to public-interest entities subject to the requirements of this Article</w:t>
            </w:r>
            <w:r w:rsidRPr="00941D7C">
              <w:rPr>
                <w:b/>
                <w:i/>
                <w:lang w:val="en-GB"/>
              </w:rPr>
              <w:t xml:space="preserve">, </w:t>
            </w:r>
            <w:proofErr w:type="gramStart"/>
            <w:r w:rsidRPr="00941D7C">
              <w:rPr>
                <w:b/>
                <w:i/>
                <w:lang w:val="en-GB"/>
              </w:rPr>
              <w:t>with the exception of</w:t>
            </w:r>
            <w:proofErr w:type="gramEnd"/>
            <w:r w:rsidRPr="00941D7C">
              <w:rPr>
                <w:b/>
                <w:i/>
                <w:lang w:val="en-GB"/>
              </w:rPr>
              <w:t xml:space="preserve"> large undertakings which are public-interest entities defined in point (a) of point (1) of Article 2 of this Directive</w:t>
            </w:r>
            <w:r w:rsidRPr="00941D7C">
              <w:rPr>
                <w:lang w:val="en-GB"/>
              </w:rPr>
              <w:t>.</w:t>
            </w:r>
          </w:p>
        </w:tc>
        <w:tc>
          <w:tcPr>
            <w:tcW w:w="4876" w:type="dxa"/>
            <w:hideMark/>
          </w:tcPr>
          <w:p w14:paraId="21AAE408" w14:textId="72B19248" w:rsidR="00EE4038" w:rsidRPr="00941D7C" w:rsidRDefault="00EE4038">
            <w:pPr>
              <w:pStyle w:val="Normal6"/>
              <w:rPr>
                <w:szCs w:val="24"/>
                <w:lang w:val="en-GB"/>
              </w:rPr>
            </w:pPr>
            <w:r w:rsidRPr="00941D7C">
              <w:rPr>
                <w:b/>
                <w:i/>
                <w:lang w:val="en-GB"/>
              </w:rPr>
              <w:t>‘</w:t>
            </w:r>
            <w:r w:rsidRPr="00941D7C">
              <w:rPr>
                <w:lang w:val="en-GB"/>
              </w:rPr>
              <w:t>9.</w:t>
            </w:r>
            <w:r w:rsidRPr="00941D7C">
              <w:rPr>
                <w:b/>
                <w:i/>
                <w:lang w:val="en-GB"/>
              </w:rPr>
              <w:tab/>
            </w:r>
            <w:r w:rsidRPr="00941D7C">
              <w:rPr>
                <w:lang w:val="en-GB"/>
              </w:rPr>
              <w:t>The exemption laid down in paragraph 8 shall also apply to public-interest entities subject to the requirements of this Article.</w:t>
            </w:r>
            <w:r w:rsidRPr="00941D7C">
              <w:rPr>
                <w:b/>
                <w:i/>
                <w:lang w:val="en-GB"/>
              </w:rPr>
              <w:t>’</w:t>
            </w:r>
            <w:r w:rsidR="00DD0B81" w:rsidRPr="00941D7C">
              <w:rPr>
                <w:b/>
                <w:i/>
                <w:lang w:val="en-GB"/>
              </w:rPr>
              <w:t>;</w:t>
            </w:r>
          </w:p>
        </w:tc>
      </w:tr>
    </w:tbl>
    <w:p w14:paraId="3514F00B"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7F499515" w14:textId="77777777" w:rsidR="00EE4038" w:rsidRPr="00941D7C" w:rsidRDefault="00EE4038" w:rsidP="00EE4038">
      <w:r w:rsidRPr="00941D7C">
        <w:rPr>
          <w:rStyle w:val="HideTWBExt"/>
        </w:rPr>
        <w:t>&lt;/Amend&gt;</w:t>
      </w:r>
    </w:p>
    <w:p w14:paraId="44E94495" w14:textId="07E2F309"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43</w:t>
      </w:r>
      <w:r w:rsidRPr="00941D7C">
        <w:rPr>
          <w:rStyle w:val="HideTWBExt"/>
          <w:lang w:val="en-GB"/>
        </w:rPr>
        <w:t>&lt;/NumAm&gt;</w:t>
      </w:r>
    </w:p>
    <w:p w14:paraId="43F8EF01"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3FF5E243"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2 – paragraph 1 – point 5</w:t>
      </w:r>
      <w:r w:rsidRPr="008C7353">
        <w:rPr>
          <w:rStyle w:val="HideTWBExt"/>
          <w:lang w:val="fr-FR"/>
        </w:rPr>
        <w:t>&lt;/Article&gt;</w:t>
      </w:r>
    </w:p>
    <w:p w14:paraId="56F60991" w14:textId="77777777" w:rsidR="00EE4038" w:rsidRPr="008C7353" w:rsidRDefault="00EE4038" w:rsidP="00EE4038">
      <w:pPr>
        <w:keepNext/>
        <w:rPr>
          <w:lang w:val="fr-FR"/>
        </w:rPr>
      </w:pPr>
      <w:r w:rsidRPr="008C7353">
        <w:rPr>
          <w:rStyle w:val="HideTWBExt"/>
          <w:lang w:val="fr-FR"/>
        </w:rPr>
        <w:t>&lt;DocAmend2&gt;</w:t>
      </w:r>
      <w:r w:rsidRPr="008C7353">
        <w:rPr>
          <w:lang w:val="fr-FR"/>
        </w:rPr>
        <w:t>Directive 2013/34/EU</w:t>
      </w:r>
      <w:r w:rsidRPr="008C7353">
        <w:rPr>
          <w:rStyle w:val="HideTWBExt"/>
          <w:lang w:val="fr-FR"/>
        </w:rPr>
        <w:t>&lt;/DocAmend2&gt;</w:t>
      </w:r>
    </w:p>
    <w:p w14:paraId="37D9E8BA" w14:textId="77777777" w:rsidR="00EE4038" w:rsidRPr="00941D7C" w:rsidRDefault="00EE4038" w:rsidP="00EE4038">
      <w:r w:rsidRPr="00941D7C">
        <w:rPr>
          <w:rStyle w:val="HideTWBExt"/>
        </w:rPr>
        <w:t>&lt;Article2&gt;</w:t>
      </w:r>
      <w:r w:rsidRPr="00941D7C">
        <w:t>Article 29aa – paragraph 1</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54C8C151" w14:textId="77777777" w:rsidTr="00EE4038">
        <w:trPr>
          <w:jc w:val="center"/>
        </w:trPr>
        <w:tc>
          <w:tcPr>
            <w:tcW w:w="9752" w:type="dxa"/>
            <w:gridSpan w:val="2"/>
          </w:tcPr>
          <w:p w14:paraId="3DC1F45F" w14:textId="77777777" w:rsidR="00EE4038" w:rsidRPr="00941D7C" w:rsidRDefault="00EE4038">
            <w:pPr>
              <w:keepNext/>
            </w:pPr>
          </w:p>
        </w:tc>
      </w:tr>
      <w:tr w:rsidR="00EE4038" w:rsidRPr="00941D7C" w14:paraId="52965237" w14:textId="77777777" w:rsidTr="00EE4038">
        <w:trPr>
          <w:jc w:val="center"/>
        </w:trPr>
        <w:tc>
          <w:tcPr>
            <w:tcW w:w="4876" w:type="dxa"/>
            <w:hideMark/>
          </w:tcPr>
          <w:p w14:paraId="34AD3457"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73BDC75E" w14:textId="77777777" w:rsidR="00EE4038" w:rsidRPr="00941D7C" w:rsidRDefault="00EE4038">
            <w:pPr>
              <w:pStyle w:val="ColumnHeading"/>
              <w:keepNext/>
              <w:rPr>
                <w:lang w:val="en-GB"/>
              </w:rPr>
            </w:pPr>
            <w:r w:rsidRPr="00941D7C">
              <w:rPr>
                <w:lang w:val="en-GB"/>
              </w:rPr>
              <w:t>Amendment</w:t>
            </w:r>
          </w:p>
        </w:tc>
      </w:tr>
      <w:tr w:rsidR="00EE4038" w:rsidRPr="00941D7C" w14:paraId="3868934A" w14:textId="77777777" w:rsidTr="00EE4038">
        <w:trPr>
          <w:jc w:val="center"/>
        </w:trPr>
        <w:tc>
          <w:tcPr>
            <w:tcW w:w="4876" w:type="dxa"/>
            <w:hideMark/>
          </w:tcPr>
          <w:p w14:paraId="6BDCE590" w14:textId="77777777" w:rsidR="00EE4038" w:rsidRPr="00941D7C" w:rsidRDefault="00EE4038">
            <w:pPr>
              <w:pStyle w:val="Normal6"/>
              <w:rPr>
                <w:lang w:val="en-GB"/>
              </w:rPr>
            </w:pPr>
            <w:r w:rsidRPr="00941D7C">
              <w:rPr>
                <w:lang w:val="en-GB"/>
              </w:rPr>
              <w:t>1.</w:t>
            </w:r>
            <w:r w:rsidRPr="00941D7C">
              <w:rPr>
                <w:lang w:val="en-GB"/>
              </w:rPr>
              <w:tab/>
              <w:t>Member States shall ensure that, by way of derogation from Article 8 of Regulation (EU) 2020/852, parent undertakings as referred to in Article 29</w:t>
            </w:r>
            <w:proofErr w:type="gramStart"/>
            <w:r w:rsidRPr="00941D7C">
              <w:rPr>
                <w:lang w:val="en-GB"/>
              </w:rPr>
              <w:t>a(</w:t>
            </w:r>
            <w:proofErr w:type="gramEnd"/>
            <w:r w:rsidRPr="00941D7C">
              <w:rPr>
                <w:lang w:val="en-GB"/>
              </w:rPr>
              <w:t xml:space="preserve">1) of this Directive </w:t>
            </w:r>
            <w:r w:rsidRPr="00941D7C">
              <w:rPr>
                <w:b/>
                <w:i/>
                <w:lang w:val="en-GB"/>
              </w:rPr>
              <w:t>which, on their balance sheet dates, do not exceed a net turnover of EUR 450 000 000, on a consolidated basis, during the financial year</w:t>
            </w:r>
            <w:r w:rsidRPr="00941D7C">
              <w:rPr>
                <w:lang w:val="en-GB"/>
              </w:rPr>
              <w:t xml:space="preserve"> shall apply </w:t>
            </w:r>
            <w:r w:rsidRPr="00941D7C">
              <w:rPr>
                <w:b/>
                <w:i/>
                <w:lang w:val="en-GB"/>
              </w:rPr>
              <w:t>the</w:t>
            </w:r>
            <w:r w:rsidRPr="00941D7C">
              <w:rPr>
                <w:lang w:val="en-GB"/>
              </w:rPr>
              <w:t xml:space="preserve"> paragraphs 2, 3 and 4 of this </w:t>
            </w:r>
            <w:r w:rsidRPr="00941D7C">
              <w:rPr>
                <w:b/>
                <w:i/>
                <w:lang w:val="en-GB"/>
              </w:rPr>
              <w:t>Directive</w:t>
            </w:r>
            <w:r w:rsidRPr="00941D7C">
              <w:rPr>
                <w:lang w:val="en-GB"/>
              </w:rPr>
              <w:t>.</w:t>
            </w:r>
          </w:p>
        </w:tc>
        <w:tc>
          <w:tcPr>
            <w:tcW w:w="4876" w:type="dxa"/>
            <w:hideMark/>
          </w:tcPr>
          <w:p w14:paraId="145FC07F" w14:textId="28924DAE" w:rsidR="00EE4038" w:rsidRPr="00941D7C" w:rsidRDefault="00EE4038" w:rsidP="00DD0B81">
            <w:pPr>
              <w:pStyle w:val="Normal6"/>
              <w:rPr>
                <w:szCs w:val="24"/>
                <w:lang w:val="en-GB"/>
              </w:rPr>
            </w:pPr>
            <w:r w:rsidRPr="00941D7C">
              <w:rPr>
                <w:lang w:val="en-GB"/>
              </w:rPr>
              <w:t>1.</w:t>
            </w:r>
            <w:r w:rsidRPr="00941D7C">
              <w:rPr>
                <w:lang w:val="en-GB"/>
              </w:rPr>
              <w:tab/>
              <w:t>Member States shall ensure that, by way of derogation from Article 8 of Regulation (EU) 2020/852, parent undertakings as referred to in Article 29</w:t>
            </w:r>
            <w:proofErr w:type="gramStart"/>
            <w:r w:rsidRPr="00941D7C">
              <w:rPr>
                <w:lang w:val="en-GB"/>
              </w:rPr>
              <w:t>a(</w:t>
            </w:r>
            <w:proofErr w:type="gramEnd"/>
            <w:r w:rsidRPr="00941D7C">
              <w:rPr>
                <w:lang w:val="en-GB"/>
              </w:rPr>
              <w:t xml:space="preserve">1) of this Directive shall apply paragraphs 2, 3 and 4 of this </w:t>
            </w:r>
            <w:r w:rsidRPr="00941D7C">
              <w:rPr>
                <w:b/>
                <w:i/>
                <w:lang w:val="en-GB"/>
              </w:rPr>
              <w:t>Article</w:t>
            </w:r>
            <w:r w:rsidRPr="00941D7C">
              <w:rPr>
                <w:lang w:val="en-GB"/>
              </w:rPr>
              <w:t>.</w:t>
            </w:r>
          </w:p>
        </w:tc>
      </w:tr>
    </w:tbl>
    <w:p w14:paraId="1EE75ED8"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2D2E3998" w14:textId="77777777" w:rsidR="00EE4038" w:rsidRPr="00941D7C" w:rsidRDefault="00EE4038" w:rsidP="00EE4038">
      <w:r w:rsidRPr="00941D7C">
        <w:rPr>
          <w:rStyle w:val="HideTWBExt"/>
        </w:rPr>
        <w:t>&lt;/Amend&gt;</w:t>
      </w:r>
    </w:p>
    <w:p w14:paraId="61644DBD" w14:textId="0FBAC28A"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44</w:t>
      </w:r>
      <w:r w:rsidRPr="00941D7C">
        <w:rPr>
          <w:rStyle w:val="HideTWBExt"/>
          <w:lang w:val="en-GB"/>
        </w:rPr>
        <w:t>&lt;/NumAm&gt;</w:t>
      </w:r>
    </w:p>
    <w:p w14:paraId="60073D79"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10CE47CA"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 xml:space="preserve">Article 2 – paragraph 1 – point 6 – point a </w:t>
      </w:r>
      <w:proofErr w:type="gramStart"/>
      <w:r w:rsidRPr="008C7353">
        <w:rPr>
          <w:lang w:val="fr-FR"/>
        </w:rPr>
        <w:t>a</w:t>
      </w:r>
      <w:proofErr w:type="gramEnd"/>
      <w:r w:rsidRPr="008C7353">
        <w:rPr>
          <w:lang w:val="fr-FR"/>
        </w:rPr>
        <w:t xml:space="preserve"> (new)</w:t>
      </w:r>
      <w:r w:rsidRPr="008C7353">
        <w:rPr>
          <w:rStyle w:val="HideTWBExt"/>
          <w:lang w:val="fr-FR"/>
        </w:rPr>
        <w:t>&lt;/Article&gt;</w:t>
      </w:r>
    </w:p>
    <w:p w14:paraId="54A4DB63" w14:textId="77777777" w:rsidR="00EE4038" w:rsidRPr="008C7353" w:rsidRDefault="00EE4038" w:rsidP="00EE4038">
      <w:pPr>
        <w:keepNext/>
        <w:rPr>
          <w:lang w:val="fr-FR"/>
        </w:rPr>
      </w:pPr>
      <w:r w:rsidRPr="008C7353">
        <w:rPr>
          <w:rStyle w:val="HideTWBExt"/>
          <w:lang w:val="fr-FR"/>
        </w:rPr>
        <w:t>&lt;DocAmend2&gt;</w:t>
      </w:r>
      <w:r w:rsidRPr="008C7353">
        <w:rPr>
          <w:lang w:val="fr-FR"/>
        </w:rPr>
        <w:t>Directive 2013/34/EU</w:t>
      </w:r>
      <w:r w:rsidRPr="008C7353">
        <w:rPr>
          <w:rStyle w:val="HideTWBExt"/>
          <w:lang w:val="fr-FR"/>
        </w:rPr>
        <w:t>&lt;/DocAmend2&gt;</w:t>
      </w:r>
    </w:p>
    <w:p w14:paraId="538137FC" w14:textId="77777777" w:rsidR="00EE4038" w:rsidRPr="00941D7C" w:rsidRDefault="00EE4038" w:rsidP="00EE4038">
      <w:r w:rsidRPr="00941D7C">
        <w:rPr>
          <w:rStyle w:val="HideTWBExt"/>
        </w:rPr>
        <w:t>&lt;Article2&gt;</w:t>
      </w:r>
      <w:r w:rsidRPr="00941D7C">
        <w:t>Article 29b – paragraph 2</w:t>
      </w:r>
      <w:r w:rsidR="004D7AB7" w:rsidRPr="00941D7C">
        <w:t xml:space="preserve"> – subparagraph 1</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00574E92" w14:textId="77777777" w:rsidTr="00EE4038">
        <w:trPr>
          <w:jc w:val="center"/>
        </w:trPr>
        <w:tc>
          <w:tcPr>
            <w:tcW w:w="9752" w:type="dxa"/>
            <w:gridSpan w:val="2"/>
          </w:tcPr>
          <w:p w14:paraId="1F4DA247" w14:textId="77777777" w:rsidR="00EE4038" w:rsidRPr="00941D7C" w:rsidRDefault="00EE4038">
            <w:pPr>
              <w:keepNext/>
            </w:pPr>
          </w:p>
        </w:tc>
      </w:tr>
      <w:tr w:rsidR="00EE4038" w:rsidRPr="00941D7C" w14:paraId="57CCA79D" w14:textId="77777777" w:rsidTr="00EE4038">
        <w:trPr>
          <w:jc w:val="center"/>
        </w:trPr>
        <w:tc>
          <w:tcPr>
            <w:tcW w:w="4876" w:type="dxa"/>
            <w:hideMark/>
          </w:tcPr>
          <w:p w14:paraId="306DE32C" w14:textId="77777777" w:rsidR="00EE4038" w:rsidRPr="00941D7C" w:rsidRDefault="00EE4038">
            <w:pPr>
              <w:pStyle w:val="ColumnHeading"/>
              <w:keepNext/>
              <w:rPr>
                <w:lang w:val="en-GB"/>
              </w:rPr>
            </w:pPr>
            <w:r w:rsidRPr="00941D7C">
              <w:rPr>
                <w:lang w:val="en-GB"/>
              </w:rPr>
              <w:t>Present text</w:t>
            </w:r>
          </w:p>
        </w:tc>
        <w:tc>
          <w:tcPr>
            <w:tcW w:w="4876" w:type="dxa"/>
            <w:hideMark/>
          </w:tcPr>
          <w:p w14:paraId="02B0E84E" w14:textId="77777777" w:rsidR="00EE4038" w:rsidRPr="00941D7C" w:rsidRDefault="00EE4038">
            <w:pPr>
              <w:pStyle w:val="ColumnHeading"/>
              <w:keepNext/>
              <w:rPr>
                <w:lang w:val="en-GB"/>
              </w:rPr>
            </w:pPr>
            <w:r w:rsidRPr="00941D7C">
              <w:rPr>
                <w:lang w:val="en-GB"/>
              </w:rPr>
              <w:t>Amendment</w:t>
            </w:r>
          </w:p>
        </w:tc>
      </w:tr>
      <w:tr w:rsidR="00EE4038" w:rsidRPr="00941D7C" w14:paraId="1A98039B" w14:textId="77777777" w:rsidTr="00EE4038">
        <w:trPr>
          <w:jc w:val="center"/>
        </w:trPr>
        <w:tc>
          <w:tcPr>
            <w:tcW w:w="4876" w:type="dxa"/>
          </w:tcPr>
          <w:p w14:paraId="6147237A" w14:textId="77777777" w:rsidR="00EE4038" w:rsidRPr="00941D7C" w:rsidRDefault="00EE4038">
            <w:pPr>
              <w:pStyle w:val="Normal6"/>
              <w:rPr>
                <w:lang w:val="en-GB"/>
              </w:rPr>
            </w:pPr>
          </w:p>
        </w:tc>
        <w:tc>
          <w:tcPr>
            <w:tcW w:w="4876" w:type="dxa"/>
            <w:hideMark/>
          </w:tcPr>
          <w:p w14:paraId="0128F051" w14:textId="77777777" w:rsidR="00EE4038" w:rsidRPr="00941D7C" w:rsidRDefault="00EE4038">
            <w:pPr>
              <w:pStyle w:val="Normal6"/>
              <w:rPr>
                <w:szCs w:val="24"/>
                <w:lang w:val="en-GB"/>
              </w:rPr>
            </w:pPr>
            <w:r w:rsidRPr="00941D7C">
              <w:rPr>
                <w:b/>
                <w:i/>
                <w:lang w:val="en-GB"/>
              </w:rPr>
              <w:t>(aa)</w:t>
            </w:r>
            <w:r w:rsidRPr="00941D7C">
              <w:rPr>
                <w:b/>
                <w:i/>
                <w:lang w:val="en-GB"/>
              </w:rPr>
              <w:tab/>
              <w:t>paragraph 2 is replaced by the following:</w:t>
            </w:r>
          </w:p>
        </w:tc>
      </w:tr>
      <w:tr w:rsidR="00EE4038" w:rsidRPr="00941D7C" w14:paraId="158A4961" w14:textId="77777777" w:rsidTr="00EE4038">
        <w:trPr>
          <w:jc w:val="center"/>
        </w:trPr>
        <w:tc>
          <w:tcPr>
            <w:tcW w:w="4876" w:type="dxa"/>
            <w:hideMark/>
          </w:tcPr>
          <w:p w14:paraId="54CF2348" w14:textId="77777777" w:rsidR="00EE4038" w:rsidRPr="00941D7C" w:rsidRDefault="00EE4038">
            <w:pPr>
              <w:pStyle w:val="Normal6"/>
              <w:rPr>
                <w:lang w:val="en-GB"/>
              </w:rPr>
            </w:pPr>
            <w:r w:rsidRPr="00941D7C">
              <w:rPr>
                <w:lang w:val="en-GB"/>
              </w:rPr>
              <w:t>2.</w:t>
            </w:r>
            <w:r w:rsidRPr="00941D7C">
              <w:rPr>
                <w:lang w:val="en-GB"/>
              </w:rPr>
              <w:tab/>
              <w:t>The sustainability reporting standards shall ensure the quality of reported information, by requiring that it is understandable, relevant, verifiable, comparable and represented in a faithful manner. The sustainability reporting standards shall avoid imposing a disproportionate administrative burden on undertakings,</w:t>
            </w:r>
            <w:r w:rsidRPr="00941D7C">
              <w:rPr>
                <w:b/>
                <w:i/>
                <w:lang w:val="en-GB"/>
              </w:rPr>
              <w:t xml:space="preserve"> including by taking account, to the greatest extent possible, of the work of </w:t>
            </w:r>
            <w:r w:rsidRPr="00941D7C">
              <w:rPr>
                <w:lang w:val="en-GB"/>
              </w:rPr>
              <w:t xml:space="preserve">global standard-setting initiatives for sustainability reporting as required by </w:t>
            </w:r>
            <w:r w:rsidRPr="00941D7C">
              <w:rPr>
                <w:b/>
                <w:i/>
                <w:lang w:val="en-GB"/>
              </w:rPr>
              <w:t>point (a) of</w:t>
            </w:r>
            <w:r w:rsidRPr="00941D7C">
              <w:rPr>
                <w:lang w:val="en-GB"/>
              </w:rPr>
              <w:t xml:space="preserve"> paragraph 5.</w:t>
            </w:r>
          </w:p>
        </w:tc>
        <w:tc>
          <w:tcPr>
            <w:tcW w:w="4876" w:type="dxa"/>
            <w:hideMark/>
          </w:tcPr>
          <w:p w14:paraId="29895B8F" w14:textId="6C8D2E02" w:rsidR="00EE4038" w:rsidRPr="00941D7C" w:rsidRDefault="00EE4038" w:rsidP="00DD0B81">
            <w:pPr>
              <w:pStyle w:val="Normal6"/>
              <w:rPr>
                <w:szCs w:val="24"/>
                <w:lang w:val="en-GB"/>
              </w:rPr>
            </w:pPr>
            <w:r w:rsidRPr="00941D7C">
              <w:rPr>
                <w:b/>
                <w:i/>
                <w:lang w:val="en-GB"/>
              </w:rPr>
              <w:t>‘</w:t>
            </w:r>
            <w:r w:rsidRPr="00941D7C">
              <w:rPr>
                <w:lang w:val="en-GB"/>
              </w:rPr>
              <w:t>2.</w:t>
            </w:r>
            <w:r w:rsidRPr="00941D7C">
              <w:rPr>
                <w:lang w:val="en-GB"/>
              </w:rPr>
              <w:tab/>
              <w:t>The sustainability reporting standards shall ensure the quality of reported information, by requiring that it is simple</w:t>
            </w:r>
            <w:r w:rsidRPr="00941D7C">
              <w:rPr>
                <w:b/>
                <w:i/>
                <w:lang w:val="en-GB"/>
              </w:rPr>
              <w:t>, streamlined</w:t>
            </w:r>
            <w:r w:rsidRPr="00941D7C">
              <w:rPr>
                <w:lang w:val="en-GB"/>
              </w:rPr>
              <w:t xml:space="preserve">, understandable, </w:t>
            </w:r>
            <w:r w:rsidRPr="00941D7C">
              <w:rPr>
                <w:b/>
                <w:i/>
                <w:lang w:val="en-GB"/>
              </w:rPr>
              <w:t>proportionate</w:t>
            </w:r>
            <w:r w:rsidRPr="00941D7C">
              <w:rPr>
                <w:lang w:val="en-GB"/>
              </w:rPr>
              <w:t>, relevant, verifiable</w:t>
            </w:r>
            <w:r w:rsidRPr="00941D7C">
              <w:rPr>
                <w:b/>
                <w:i/>
                <w:lang w:val="en-GB"/>
              </w:rPr>
              <w:t xml:space="preserve">, </w:t>
            </w:r>
            <w:r w:rsidRPr="00941D7C">
              <w:rPr>
                <w:lang w:val="en-GB"/>
              </w:rPr>
              <w:t>comparable and represented in a faithful manner.</w:t>
            </w:r>
            <w:r w:rsidRPr="00941D7C">
              <w:rPr>
                <w:b/>
                <w:i/>
                <w:lang w:val="en-GB"/>
              </w:rPr>
              <w:t xml:space="preserve"> </w:t>
            </w:r>
            <w:r w:rsidRPr="00941D7C">
              <w:rPr>
                <w:lang w:val="en-GB"/>
              </w:rPr>
              <w:t>The sustainability reporting standards shall</w:t>
            </w:r>
            <w:r w:rsidR="00DD0B81" w:rsidRPr="00941D7C">
              <w:rPr>
                <w:b/>
                <w:i/>
                <w:lang w:val="en-GB"/>
              </w:rPr>
              <w:t>:</w:t>
            </w:r>
          </w:p>
        </w:tc>
      </w:tr>
      <w:tr w:rsidR="00CC790A" w:rsidRPr="00941D7C" w14:paraId="49BFEBC5" w14:textId="77777777" w:rsidTr="00EE4038">
        <w:trPr>
          <w:jc w:val="center"/>
        </w:trPr>
        <w:tc>
          <w:tcPr>
            <w:tcW w:w="4876" w:type="dxa"/>
          </w:tcPr>
          <w:p w14:paraId="554373C4" w14:textId="77777777" w:rsidR="00CC790A" w:rsidRPr="00941D7C" w:rsidRDefault="00CC790A">
            <w:pPr>
              <w:pStyle w:val="Normal6"/>
              <w:rPr>
                <w:lang w:val="en-GB"/>
              </w:rPr>
            </w:pPr>
          </w:p>
        </w:tc>
        <w:tc>
          <w:tcPr>
            <w:tcW w:w="4876" w:type="dxa"/>
          </w:tcPr>
          <w:p w14:paraId="17BD06F0" w14:textId="6914E26D" w:rsidR="00CC790A" w:rsidRPr="00941D7C" w:rsidRDefault="00CC790A">
            <w:pPr>
              <w:pStyle w:val="Normal6"/>
              <w:rPr>
                <w:b/>
                <w:i/>
                <w:lang w:val="en-GB"/>
              </w:rPr>
            </w:pPr>
            <w:r w:rsidRPr="00941D7C">
              <w:rPr>
                <w:b/>
                <w:i/>
                <w:lang w:val="en-GB"/>
              </w:rPr>
              <w:t>(a)</w:t>
            </w:r>
            <w:r w:rsidRPr="00941D7C">
              <w:rPr>
                <w:b/>
                <w:i/>
                <w:lang w:val="en-GB"/>
              </w:rPr>
              <w:tab/>
              <w:t xml:space="preserve">to the extent possible, be quantitative in nature; </w:t>
            </w:r>
          </w:p>
        </w:tc>
      </w:tr>
      <w:tr w:rsidR="00CC790A" w:rsidRPr="00941D7C" w14:paraId="26878087" w14:textId="77777777" w:rsidTr="00EE4038">
        <w:trPr>
          <w:jc w:val="center"/>
        </w:trPr>
        <w:tc>
          <w:tcPr>
            <w:tcW w:w="4876" w:type="dxa"/>
          </w:tcPr>
          <w:p w14:paraId="4A46127E" w14:textId="77777777" w:rsidR="00CC790A" w:rsidRPr="00941D7C" w:rsidRDefault="00CC790A">
            <w:pPr>
              <w:pStyle w:val="Normal6"/>
              <w:rPr>
                <w:lang w:val="en-GB"/>
              </w:rPr>
            </w:pPr>
          </w:p>
        </w:tc>
        <w:tc>
          <w:tcPr>
            <w:tcW w:w="4876" w:type="dxa"/>
          </w:tcPr>
          <w:p w14:paraId="7D404AEE" w14:textId="58A63366" w:rsidR="00CC790A" w:rsidRPr="00941D7C" w:rsidRDefault="00CC790A">
            <w:pPr>
              <w:pStyle w:val="Normal6"/>
              <w:rPr>
                <w:b/>
                <w:i/>
                <w:lang w:val="en-GB"/>
              </w:rPr>
            </w:pPr>
            <w:r w:rsidRPr="00941D7C">
              <w:rPr>
                <w:b/>
                <w:i/>
                <w:lang w:val="en-GB"/>
              </w:rPr>
              <w:t>(b)</w:t>
            </w:r>
            <w:r w:rsidRPr="00941D7C">
              <w:rPr>
                <w:b/>
                <w:i/>
                <w:lang w:val="en-GB"/>
              </w:rPr>
              <w:tab/>
              <w:t xml:space="preserve">avoid double reporting and any overlap with obligations stemming from other legislative instruments; </w:t>
            </w:r>
          </w:p>
        </w:tc>
      </w:tr>
      <w:tr w:rsidR="00CC790A" w:rsidRPr="00941D7C" w14:paraId="1AC9C82F" w14:textId="77777777" w:rsidTr="00EE4038">
        <w:trPr>
          <w:jc w:val="center"/>
        </w:trPr>
        <w:tc>
          <w:tcPr>
            <w:tcW w:w="4876" w:type="dxa"/>
          </w:tcPr>
          <w:p w14:paraId="3B479D4C" w14:textId="77777777" w:rsidR="00CC790A" w:rsidRPr="00941D7C" w:rsidRDefault="00CC790A">
            <w:pPr>
              <w:pStyle w:val="Normal6"/>
              <w:rPr>
                <w:lang w:val="en-GB"/>
              </w:rPr>
            </w:pPr>
          </w:p>
        </w:tc>
        <w:tc>
          <w:tcPr>
            <w:tcW w:w="4876" w:type="dxa"/>
          </w:tcPr>
          <w:p w14:paraId="456A519D" w14:textId="6EF30D53" w:rsidR="00CC790A" w:rsidRPr="00941D7C" w:rsidRDefault="00CC790A">
            <w:pPr>
              <w:pStyle w:val="Normal6"/>
              <w:rPr>
                <w:b/>
                <w:i/>
                <w:lang w:val="en-GB"/>
              </w:rPr>
            </w:pPr>
            <w:r w:rsidRPr="00941D7C">
              <w:rPr>
                <w:b/>
                <w:i/>
                <w:lang w:val="en-GB"/>
              </w:rPr>
              <w:t>(c)</w:t>
            </w:r>
            <w:r w:rsidRPr="00941D7C">
              <w:rPr>
                <w:b/>
                <w:i/>
                <w:lang w:val="en-GB"/>
              </w:rPr>
              <w:tab/>
            </w:r>
            <w:r w:rsidRPr="00941D7C">
              <w:rPr>
                <w:lang w:val="en-GB"/>
              </w:rPr>
              <w:t>avoid imposing a disproportionate administrative</w:t>
            </w:r>
            <w:r w:rsidRPr="00941D7C">
              <w:rPr>
                <w:b/>
                <w:i/>
                <w:lang w:val="en-GB"/>
              </w:rPr>
              <w:t xml:space="preserve"> and financial </w:t>
            </w:r>
            <w:r w:rsidRPr="00941D7C">
              <w:rPr>
                <w:lang w:val="en-GB"/>
              </w:rPr>
              <w:t>burden on undertakings</w:t>
            </w:r>
            <w:r w:rsidRPr="00941D7C">
              <w:rPr>
                <w:b/>
                <w:i/>
                <w:lang w:val="en-GB"/>
              </w:rPr>
              <w:t>;</w:t>
            </w:r>
            <w:r w:rsidRPr="00941D7C">
              <w:rPr>
                <w:lang w:val="en-GB"/>
              </w:rPr>
              <w:t xml:space="preserve"> </w:t>
            </w:r>
            <w:r w:rsidRPr="00941D7C">
              <w:rPr>
                <w:b/>
                <w:i/>
                <w:lang w:val="en-GB"/>
              </w:rPr>
              <w:t xml:space="preserve">and </w:t>
            </w:r>
          </w:p>
        </w:tc>
      </w:tr>
      <w:tr w:rsidR="00CC790A" w:rsidRPr="00941D7C" w14:paraId="6C94B005" w14:textId="77777777" w:rsidTr="00EE4038">
        <w:trPr>
          <w:jc w:val="center"/>
        </w:trPr>
        <w:tc>
          <w:tcPr>
            <w:tcW w:w="4876" w:type="dxa"/>
          </w:tcPr>
          <w:p w14:paraId="6A3E8417" w14:textId="77777777" w:rsidR="00CC790A" w:rsidRPr="00941D7C" w:rsidRDefault="00CC790A">
            <w:pPr>
              <w:pStyle w:val="Normal6"/>
              <w:rPr>
                <w:lang w:val="en-GB"/>
              </w:rPr>
            </w:pPr>
          </w:p>
        </w:tc>
        <w:tc>
          <w:tcPr>
            <w:tcW w:w="4876" w:type="dxa"/>
          </w:tcPr>
          <w:p w14:paraId="7B5E52A0" w14:textId="049EBCDA" w:rsidR="00CC790A" w:rsidRPr="00941D7C" w:rsidRDefault="00CC790A">
            <w:pPr>
              <w:pStyle w:val="Normal6"/>
              <w:rPr>
                <w:b/>
                <w:i/>
                <w:lang w:val="en-GB"/>
              </w:rPr>
            </w:pPr>
            <w:r w:rsidRPr="00941D7C">
              <w:rPr>
                <w:b/>
                <w:i/>
                <w:lang w:val="en-GB"/>
              </w:rPr>
              <w:t>(d)</w:t>
            </w:r>
            <w:r w:rsidRPr="00941D7C">
              <w:rPr>
                <w:b/>
                <w:i/>
                <w:lang w:val="en-GB"/>
              </w:rPr>
              <w:tab/>
              <w:t xml:space="preserve">ensure interoperability with internationally recognised standards set by </w:t>
            </w:r>
            <w:r w:rsidRPr="00941D7C">
              <w:rPr>
                <w:lang w:val="en-GB"/>
              </w:rPr>
              <w:t>global standard-setting initiatives for sustainability reporting as required by paragraph 5</w:t>
            </w:r>
            <w:r w:rsidRPr="00941D7C">
              <w:rPr>
                <w:b/>
                <w:i/>
                <w:lang w:val="en-GB"/>
              </w:rPr>
              <w:t>, point (a)</w:t>
            </w:r>
            <w:r w:rsidRPr="00941D7C">
              <w:rPr>
                <w:lang w:val="en-GB"/>
              </w:rPr>
              <w:t>.</w:t>
            </w:r>
            <w:r w:rsidRPr="00941D7C">
              <w:rPr>
                <w:b/>
                <w:i/>
                <w:lang w:val="en-GB"/>
              </w:rPr>
              <w:t>’;</w:t>
            </w:r>
          </w:p>
        </w:tc>
      </w:tr>
    </w:tbl>
    <w:p w14:paraId="752DCC33"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78FFC90B" w14:textId="77777777" w:rsidR="00EE4038" w:rsidRPr="00941D7C" w:rsidRDefault="00EE4038" w:rsidP="00EE4038">
      <w:r w:rsidRPr="00941D7C">
        <w:rPr>
          <w:rStyle w:val="HideTWBExt"/>
        </w:rPr>
        <w:t>&lt;/Amend&gt;</w:t>
      </w:r>
    </w:p>
    <w:p w14:paraId="07D0A967" w14:textId="7F2B0240"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45</w:t>
      </w:r>
      <w:r w:rsidRPr="00941D7C">
        <w:rPr>
          <w:rStyle w:val="HideTWBExt"/>
          <w:lang w:val="en-GB"/>
        </w:rPr>
        <w:t>&lt;/NumAm&gt;</w:t>
      </w:r>
    </w:p>
    <w:p w14:paraId="6AFF9860"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6A859169"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2 – paragraph 1 – point 6 – point b</w:t>
      </w:r>
      <w:r w:rsidRPr="008C7353">
        <w:rPr>
          <w:rStyle w:val="HideTWBExt"/>
          <w:lang w:val="fr-FR"/>
        </w:rPr>
        <w:t>&lt;/Article&gt;</w:t>
      </w:r>
    </w:p>
    <w:p w14:paraId="212850C6" w14:textId="77777777" w:rsidR="00EE4038" w:rsidRPr="008C7353" w:rsidRDefault="00EE4038" w:rsidP="00EE4038">
      <w:pPr>
        <w:keepNext/>
        <w:rPr>
          <w:lang w:val="fr-FR"/>
        </w:rPr>
      </w:pPr>
      <w:r w:rsidRPr="008C7353">
        <w:rPr>
          <w:rStyle w:val="HideTWBExt"/>
          <w:lang w:val="fr-FR"/>
        </w:rPr>
        <w:t>&lt;DocAmend2&gt;</w:t>
      </w:r>
      <w:r w:rsidRPr="008C7353">
        <w:rPr>
          <w:lang w:val="fr-FR"/>
        </w:rPr>
        <w:t>Directive 2013/34/EU</w:t>
      </w:r>
      <w:r w:rsidRPr="008C7353">
        <w:rPr>
          <w:rStyle w:val="HideTWBExt"/>
          <w:lang w:val="fr-FR"/>
        </w:rPr>
        <w:t>&lt;/DocAmend2&gt;</w:t>
      </w:r>
    </w:p>
    <w:p w14:paraId="22AF776D" w14:textId="77777777" w:rsidR="00EE4038" w:rsidRPr="008C7353" w:rsidRDefault="00EE4038" w:rsidP="00EE4038">
      <w:pPr>
        <w:rPr>
          <w:lang w:val="fr-FR"/>
        </w:rPr>
      </w:pPr>
      <w:r w:rsidRPr="008C7353">
        <w:rPr>
          <w:rStyle w:val="HideTWBExt"/>
          <w:lang w:val="fr-FR"/>
        </w:rPr>
        <w:t>&lt;Article2&gt;</w:t>
      </w:r>
      <w:r w:rsidRPr="008C7353">
        <w:rPr>
          <w:lang w:val="fr-FR"/>
        </w:rPr>
        <w:t>Article 29b – paragraph 4 – subparagraph 1</w:t>
      </w:r>
      <w:r w:rsidRPr="008C7353">
        <w:rPr>
          <w:rStyle w:val="HideTWBExt"/>
          <w:lang w:val="fr-FR"/>
        </w:rPr>
        <w:t>&lt;/Article2&gt;</w:t>
      </w:r>
    </w:p>
    <w:tbl>
      <w:tblPr>
        <w:tblW w:w="0"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8C7353" w14:paraId="54D90FD5" w14:textId="77777777" w:rsidTr="00EE4038">
        <w:trPr>
          <w:jc w:val="center"/>
        </w:trPr>
        <w:tc>
          <w:tcPr>
            <w:tcW w:w="9752" w:type="dxa"/>
            <w:gridSpan w:val="2"/>
          </w:tcPr>
          <w:p w14:paraId="40854C9E" w14:textId="77777777" w:rsidR="00EE4038" w:rsidRPr="008C7353" w:rsidRDefault="00EE4038">
            <w:pPr>
              <w:keepNext/>
              <w:rPr>
                <w:lang w:val="fr-FR"/>
              </w:rPr>
            </w:pPr>
          </w:p>
        </w:tc>
      </w:tr>
      <w:tr w:rsidR="00EE4038" w:rsidRPr="00941D7C" w14:paraId="33046F47" w14:textId="77777777" w:rsidTr="00EE4038">
        <w:trPr>
          <w:jc w:val="center"/>
        </w:trPr>
        <w:tc>
          <w:tcPr>
            <w:tcW w:w="4876" w:type="dxa"/>
            <w:hideMark/>
          </w:tcPr>
          <w:p w14:paraId="26412E54"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2D9B1F17" w14:textId="77777777" w:rsidR="00EE4038" w:rsidRPr="00941D7C" w:rsidRDefault="00EE4038">
            <w:pPr>
              <w:pStyle w:val="ColumnHeading"/>
              <w:keepNext/>
              <w:rPr>
                <w:lang w:val="en-GB"/>
              </w:rPr>
            </w:pPr>
            <w:r w:rsidRPr="00941D7C">
              <w:rPr>
                <w:lang w:val="en-GB"/>
              </w:rPr>
              <w:t>Amendment</w:t>
            </w:r>
          </w:p>
        </w:tc>
      </w:tr>
      <w:tr w:rsidR="00EE4038" w:rsidRPr="00941D7C" w14:paraId="465BA133" w14:textId="77777777" w:rsidTr="00EE4038">
        <w:trPr>
          <w:jc w:val="center"/>
        </w:trPr>
        <w:tc>
          <w:tcPr>
            <w:tcW w:w="4876" w:type="dxa"/>
            <w:hideMark/>
          </w:tcPr>
          <w:p w14:paraId="4C2DB9EE" w14:textId="77777777" w:rsidR="00EE4038" w:rsidRPr="00941D7C" w:rsidRDefault="00EE4038">
            <w:pPr>
              <w:pStyle w:val="Normal6"/>
              <w:rPr>
                <w:lang w:val="en-GB"/>
              </w:rPr>
            </w:pPr>
            <w:r w:rsidRPr="00941D7C">
              <w:rPr>
                <w:lang w:val="en-GB"/>
              </w:rPr>
              <w:t>(b)</w:t>
            </w:r>
            <w:r w:rsidRPr="00941D7C">
              <w:rPr>
                <w:lang w:val="en-GB"/>
              </w:rPr>
              <w:tab/>
              <w:t>in paragraph 4, first subparagraph</w:t>
            </w:r>
            <w:r w:rsidRPr="00941D7C">
              <w:rPr>
                <w:b/>
                <w:i/>
                <w:lang w:val="en-GB"/>
              </w:rPr>
              <w:t>, the last sentence</w:t>
            </w:r>
            <w:r w:rsidRPr="00941D7C">
              <w:rPr>
                <w:lang w:val="en-GB"/>
              </w:rPr>
              <w:t xml:space="preserve"> is replaced by the following:</w:t>
            </w:r>
          </w:p>
        </w:tc>
        <w:tc>
          <w:tcPr>
            <w:tcW w:w="4876" w:type="dxa"/>
            <w:hideMark/>
          </w:tcPr>
          <w:p w14:paraId="1142AFB6" w14:textId="77777777" w:rsidR="00EE4038" w:rsidRPr="00941D7C" w:rsidRDefault="00EE4038">
            <w:pPr>
              <w:pStyle w:val="Normal6"/>
              <w:rPr>
                <w:szCs w:val="24"/>
                <w:lang w:val="en-GB"/>
              </w:rPr>
            </w:pPr>
            <w:r w:rsidRPr="00941D7C">
              <w:rPr>
                <w:lang w:val="en-GB"/>
              </w:rPr>
              <w:t>(b)</w:t>
            </w:r>
            <w:r w:rsidRPr="00941D7C">
              <w:rPr>
                <w:lang w:val="en-GB"/>
              </w:rPr>
              <w:tab/>
              <w:t xml:space="preserve">in paragraph 4, </w:t>
            </w:r>
            <w:r w:rsidRPr="00941D7C">
              <w:rPr>
                <w:b/>
                <w:i/>
                <w:lang w:val="en-GB"/>
              </w:rPr>
              <w:t>the</w:t>
            </w:r>
            <w:r w:rsidRPr="00941D7C">
              <w:rPr>
                <w:lang w:val="en-GB"/>
              </w:rPr>
              <w:t xml:space="preserve"> first subparagraph is replaced by the following:</w:t>
            </w:r>
          </w:p>
        </w:tc>
      </w:tr>
      <w:tr w:rsidR="00EE4038" w:rsidRPr="00941D7C" w14:paraId="480FE254" w14:textId="77777777" w:rsidTr="00EE4038">
        <w:trPr>
          <w:jc w:val="center"/>
        </w:trPr>
        <w:tc>
          <w:tcPr>
            <w:tcW w:w="4876" w:type="dxa"/>
            <w:hideMark/>
          </w:tcPr>
          <w:p w14:paraId="4443F153" w14:textId="77777777" w:rsidR="00EE4038" w:rsidRPr="00941D7C" w:rsidRDefault="00EE4038">
            <w:pPr>
              <w:pStyle w:val="Normal6"/>
              <w:rPr>
                <w:lang w:val="en-GB"/>
              </w:rPr>
            </w:pPr>
            <w:r w:rsidRPr="00941D7C">
              <w:rPr>
                <w:lang w:val="en-GB"/>
              </w:rPr>
              <w:t xml:space="preserve">‘Sustainability reporting standards shall not specify disclosures that would require undertakings to obtain from undertakings in their </w:t>
            </w:r>
            <w:r w:rsidRPr="00941D7C">
              <w:rPr>
                <w:b/>
                <w:i/>
                <w:lang w:val="en-GB"/>
              </w:rPr>
              <w:t>value</w:t>
            </w:r>
            <w:r w:rsidRPr="00941D7C">
              <w:rPr>
                <w:lang w:val="en-GB"/>
              </w:rPr>
              <w:t xml:space="preserve"> chain which, on their balance sheet dates, do not exceed the average number </w:t>
            </w:r>
            <w:r w:rsidRPr="00941D7C">
              <w:rPr>
                <w:b/>
                <w:i/>
                <w:lang w:val="en-GB"/>
              </w:rPr>
              <w:t>of1000</w:t>
            </w:r>
            <w:r w:rsidRPr="00941D7C">
              <w:rPr>
                <w:lang w:val="en-GB"/>
              </w:rPr>
              <w:t xml:space="preserve"> employees during the financial year any information that exceeds the information to be disclosed pursuant to the sustainability reporting standards for voluntary use referred to in Article 29ca.’;</w:t>
            </w:r>
          </w:p>
        </w:tc>
        <w:tc>
          <w:tcPr>
            <w:tcW w:w="4876" w:type="dxa"/>
            <w:hideMark/>
          </w:tcPr>
          <w:p w14:paraId="7D8DE826" w14:textId="64E1968A" w:rsidR="00EE4038" w:rsidRPr="00941D7C" w:rsidRDefault="00EE4038" w:rsidP="00DD0B81">
            <w:pPr>
              <w:pStyle w:val="Normal6"/>
              <w:rPr>
                <w:lang w:val="en-GB"/>
              </w:rPr>
            </w:pPr>
            <w:r w:rsidRPr="00941D7C">
              <w:rPr>
                <w:lang w:val="en-GB"/>
              </w:rPr>
              <w:t>‘</w:t>
            </w:r>
            <w:r w:rsidRPr="00941D7C">
              <w:rPr>
                <w:b/>
                <w:i/>
                <w:lang w:val="en-GB"/>
              </w:rPr>
              <w:t xml:space="preserve">Sustainability reporting standards shall take account of the difficulties that undertakings </w:t>
            </w:r>
            <w:r w:rsidR="00DD0B81" w:rsidRPr="00941D7C">
              <w:rPr>
                <w:b/>
                <w:i/>
                <w:lang w:val="en-GB"/>
              </w:rPr>
              <w:t xml:space="preserve">might </w:t>
            </w:r>
            <w:r w:rsidRPr="00941D7C">
              <w:rPr>
                <w:b/>
                <w:i/>
                <w:lang w:val="en-GB"/>
              </w:rPr>
              <w:t xml:space="preserve">encounter in gathering information from actors throughout their chain of activities, especially from those which are not subject to the sustainability reporting requirements laid down in Article 19a or 29a and from suppliers in emerging markets and economies. Sustainability reporting standards shall specify disclosures on chains of activities that are proportionate and relevant to the capacities and characteristics of undertakings in the chains of activities, and to the scale and complexity of their activities, especially those of undertakings that are not subject to the sustainability reporting requirements </w:t>
            </w:r>
            <w:r w:rsidR="00DD0B81" w:rsidRPr="00941D7C">
              <w:rPr>
                <w:b/>
                <w:i/>
                <w:lang w:val="en-GB"/>
              </w:rPr>
              <w:t xml:space="preserve">laid down </w:t>
            </w:r>
            <w:r w:rsidRPr="00941D7C">
              <w:rPr>
                <w:b/>
                <w:i/>
                <w:lang w:val="en-GB"/>
              </w:rPr>
              <w:t>in Article 19a or 29a.</w:t>
            </w:r>
            <w:r w:rsidRPr="00941D7C">
              <w:rPr>
                <w:lang w:val="en-GB"/>
              </w:rPr>
              <w:t xml:space="preserve"> Sustainability reporting standards shall not specify disclosures that would require undertakings to obtain from undertakings in their chain </w:t>
            </w:r>
            <w:r w:rsidRPr="00941D7C">
              <w:rPr>
                <w:b/>
                <w:i/>
                <w:lang w:val="en-GB"/>
              </w:rPr>
              <w:t>of activities</w:t>
            </w:r>
            <w:r w:rsidRPr="00941D7C">
              <w:rPr>
                <w:lang w:val="en-GB"/>
              </w:rPr>
              <w:t xml:space="preserve"> which, on their balance sheet dates, do not exceed the average number </w:t>
            </w:r>
            <w:r w:rsidRPr="00941D7C">
              <w:rPr>
                <w:b/>
                <w:i/>
                <w:lang w:val="en-GB"/>
              </w:rPr>
              <w:t>of 3000</w:t>
            </w:r>
            <w:r w:rsidRPr="00941D7C">
              <w:rPr>
                <w:lang w:val="en-GB"/>
              </w:rPr>
              <w:t xml:space="preserve"> employees </w:t>
            </w:r>
            <w:r w:rsidRPr="00941D7C">
              <w:rPr>
                <w:b/>
                <w:i/>
                <w:lang w:val="en-GB"/>
              </w:rPr>
              <w:t>and a net turnover of EUR 450 000 000</w:t>
            </w:r>
            <w:r w:rsidRPr="00941D7C">
              <w:rPr>
                <w:lang w:val="en-GB"/>
              </w:rPr>
              <w:t xml:space="preserve"> during the financial year any information that exceeds the information to be disclosed pursuant to the sustainability reporting standards for voluntary use referred to in Article 29ca.’;</w:t>
            </w:r>
          </w:p>
        </w:tc>
      </w:tr>
    </w:tbl>
    <w:p w14:paraId="246A9958"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28897CDE" w14:textId="77777777" w:rsidR="00EE4038" w:rsidRPr="00941D7C" w:rsidRDefault="00EE4038" w:rsidP="00EE4038">
      <w:r w:rsidRPr="00941D7C">
        <w:rPr>
          <w:rStyle w:val="HideTWBExt"/>
        </w:rPr>
        <w:t>&lt;/Amend&gt;</w:t>
      </w:r>
    </w:p>
    <w:p w14:paraId="3D881775" w14:textId="3D591C13"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46</w:t>
      </w:r>
      <w:r w:rsidRPr="00941D7C">
        <w:rPr>
          <w:rStyle w:val="HideTWBExt"/>
          <w:lang w:val="en-GB"/>
        </w:rPr>
        <w:t>&lt;/NumAm&gt;</w:t>
      </w:r>
    </w:p>
    <w:p w14:paraId="28F8AFEF"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678221CA"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2 – paragraph 1 – point 8</w:t>
      </w:r>
      <w:r w:rsidRPr="008C7353">
        <w:rPr>
          <w:rStyle w:val="HideTWBExt"/>
          <w:lang w:val="fr-FR"/>
        </w:rPr>
        <w:t>&lt;/Article&gt;</w:t>
      </w:r>
    </w:p>
    <w:p w14:paraId="0657248B" w14:textId="77777777" w:rsidR="00EE4038" w:rsidRPr="008C7353" w:rsidRDefault="00EE4038" w:rsidP="00EE4038">
      <w:pPr>
        <w:keepNext/>
        <w:rPr>
          <w:lang w:val="fr-FR"/>
        </w:rPr>
      </w:pPr>
      <w:r w:rsidRPr="008C7353">
        <w:rPr>
          <w:rStyle w:val="HideTWBExt"/>
          <w:lang w:val="fr-FR"/>
        </w:rPr>
        <w:t>&lt;DocAmend2&gt;</w:t>
      </w:r>
      <w:r w:rsidRPr="008C7353">
        <w:rPr>
          <w:lang w:val="fr-FR"/>
        </w:rPr>
        <w:t>Article 2013/34/EU</w:t>
      </w:r>
      <w:r w:rsidRPr="008C7353">
        <w:rPr>
          <w:rStyle w:val="HideTWBExt"/>
          <w:lang w:val="fr-FR"/>
        </w:rPr>
        <w:t>&lt;/DocAmend2&gt;</w:t>
      </w:r>
    </w:p>
    <w:p w14:paraId="58219A06" w14:textId="77777777" w:rsidR="00EE4038" w:rsidRPr="00941D7C" w:rsidRDefault="00EE4038" w:rsidP="00EE4038">
      <w:r w:rsidRPr="00941D7C">
        <w:rPr>
          <w:rStyle w:val="HideTWBExt"/>
        </w:rPr>
        <w:t>&lt;Article2&gt;</w:t>
      </w:r>
      <w:r w:rsidRPr="00941D7C">
        <w:t>Article 29ca – paragraph 1</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60FF1738" w14:textId="77777777" w:rsidTr="00EE4038">
        <w:trPr>
          <w:jc w:val="center"/>
        </w:trPr>
        <w:tc>
          <w:tcPr>
            <w:tcW w:w="9752" w:type="dxa"/>
            <w:gridSpan w:val="2"/>
          </w:tcPr>
          <w:p w14:paraId="1C1EB47E" w14:textId="77777777" w:rsidR="00EE4038" w:rsidRPr="00941D7C" w:rsidRDefault="00EE4038">
            <w:pPr>
              <w:keepNext/>
            </w:pPr>
          </w:p>
        </w:tc>
      </w:tr>
      <w:tr w:rsidR="00EE4038" w:rsidRPr="00941D7C" w14:paraId="04DF6AF6" w14:textId="77777777" w:rsidTr="00EE4038">
        <w:trPr>
          <w:jc w:val="center"/>
        </w:trPr>
        <w:tc>
          <w:tcPr>
            <w:tcW w:w="4876" w:type="dxa"/>
            <w:hideMark/>
          </w:tcPr>
          <w:p w14:paraId="352AAA31"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40CFF464" w14:textId="77777777" w:rsidR="00EE4038" w:rsidRPr="00941D7C" w:rsidRDefault="00EE4038">
            <w:pPr>
              <w:pStyle w:val="ColumnHeading"/>
              <w:keepNext/>
              <w:rPr>
                <w:lang w:val="en-GB"/>
              </w:rPr>
            </w:pPr>
            <w:r w:rsidRPr="00941D7C">
              <w:rPr>
                <w:lang w:val="en-GB"/>
              </w:rPr>
              <w:t>Amendment</w:t>
            </w:r>
          </w:p>
        </w:tc>
      </w:tr>
      <w:tr w:rsidR="00EE4038" w:rsidRPr="00941D7C" w14:paraId="1DE99D48" w14:textId="77777777" w:rsidTr="00EE4038">
        <w:trPr>
          <w:jc w:val="center"/>
        </w:trPr>
        <w:tc>
          <w:tcPr>
            <w:tcW w:w="4876" w:type="dxa"/>
            <w:hideMark/>
          </w:tcPr>
          <w:p w14:paraId="0A170F8D" w14:textId="77777777" w:rsidR="00EE4038" w:rsidRPr="00941D7C" w:rsidRDefault="00EE4038">
            <w:pPr>
              <w:pStyle w:val="Normal6"/>
              <w:rPr>
                <w:lang w:val="en-GB"/>
              </w:rPr>
            </w:pPr>
            <w:r w:rsidRPr="00941D7C">
              <w:rPr>
                <w:lang w:val="en-GB"/>
              </w:rPr>
              <w:t>1.</w:t>
            </w:r>
            <w:r w:rsidRPr="00941D7C">
              <w:rPr>
                <w:lang w:val="en-GB"/>
              </w:rPr>
              <w:tab/>
              <w:t>To facilitate voluntary reporting of sustainability information by undertakings other than those referred to in Articles 19</w:t>
            </w:r>
            <w:proofErr w:type="gramStart"/>
            <w:r w:rsidRPr="00941D7C">
              <w:rPr>
                <w:lang w:val="en-GB"/>
              </w:rPr>
              <w:t>a(</w:t>
            </w:r>
            <w:proofErr w:type="gramEnd"/>
            <w:r w:rsidRPr="00941D7C">
              <w:rPr>
                <w:lang w:val="en-GB"/>
              </w:rPr>
              <w:t>1) and 29a(1), the Commission shall adopt a delegated act by [4 months after entry into force of this Directive] in accordance with Article 49 supplementing this Directive to provide for sustainability reporting standards for voluntary use by such undertakings.</w:t>
            </w:r>
          </w:p>
        </w:tc>
        <w:tc>
          <w:tcPr>
            <w:tcW w:w="4876" w:type="dxa"/>
            <w:hideMark/>
          </w:tcPr>
          <w:p w14:paraId="31BC3FD5" w14:textId="1E96ECFB" w:rsidR="00EE4038" w:rsidRPr="00941D7C" w:rsidRDefault="00EE4038" w:rsidP="00DD0B81">
            <w:pPr>
              <w:pStyle w:val="Normal6"/>
              <w:rPr>
                <w:szCs w:val="24"/>
                <w:lang w:val="en-GB"/>
              </w:rPr>
            </w:pPr>
            <w:r w:rsidRPr="00941D7C">
              <w:rPr>
                <w:lang w:val="en-GB"/>
              </w:rPr>
              <w:t>1.</w:t>
            </w:r>
            <w:r w:rsidRPr="00941D7C">
              <w:rPr>
                <w:lang w:val="en-GB"/>
              </w:rPr>
              <w:tab/>
              <w:t xml:space="preserve">To facilitate voluntary reporting of sustainability information by undertakings other than those referred to in Articles 19a(1) and 29a(1) </w:t>
            </w:r>
            <w:r w:rsidRPr="00941D7C">
              <w:rPr>
                <w:b/>
                <w:i/>
                <w:lang w:val="en-GB"/>
              </w:rPr>
              <w:t xml:space="preserve">and to limit the information that </w:t>
            </w:r>
            <w:r w:rsidR="00DD0B81" w:rsidRPr="00941D7C">
              <w:rPr>
                <w:b/>
                <w:i/>
                <w:lang w:val="en-GB"/>
              </w:rPr>
              <w:t xml:space="preserve">can </w:t>
            </w:r>
            <w:r w:rsidRPr="00941D7C">
              <w:rPr>
                <w:b/>
                <w:i/>
                <w:lang w:val="en-GB"/>
              </w:rPr>
              <w:t>be requested from such undertakings for the purposes of this Directive</w:t>
            </w:r>
            <w:r w:rsidRPr="00941D7C">
              <w:rPr>
                <w:lang w:val="en-GB"/>
              </w:rPr>
              <w:t>, the Commission shall adopt a delegated act by [4 months after entry into force of this Directive] in accordance with Article 49 supplementing this Directive to provide for sustainability reporting standards for voluntary use by such undertakings.</w:t>
            </w:r>
          </w:p>
        </w:tc>
      </w:tr>
    </w:tbl>
    <w:p w14:paraId="264390E6"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091A94CF" w14:textId="77777777" w:rsidR="00EE4038" w:rsidRPr="00941D7C" w:rsidRDefault="00EE4038" w:rsidP="00EE4038">
      <w:r w:rsidRPr="00941D7C">
        <w:rPr>
          <w:rStyle w:val="HideTWBExt"/>
        </w:rPr>
        <w:t>&lt;/Amend&gt;</w:t>
      </w:r>
    </w:p>
    <w:p w14:paraId="5BCB8717" w14:textId="1F0E1820"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47</w:t>
      </w:r>
      <w:r w:rsidRPr="00941D7C">
        <w:rPr>
          <w:rStyle w:val="HideTWBExt"/>
          <w:lang w:val="en-GB"/>
        </w:rPr>
        <w:t>&lt;/NumAm&gt;</w:t>
      </w:r>
    </w:p>
    <w:p w14:paraId="2A0A588B"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69F3A881"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2 – paragraph 1 – point 11 – point b</w:t>
      </w:r>
      <w:r w:rsidRPr="008C7353">
        <w:rPr>
          <w:rStyle w:val="HideTWBExt"/>
          <w:lang w:val="fr-FR"/>
        </w:rPr>
        <w:t>&lt;/Article&gt;</w:t>
      </w:r>
    </w:p>
    <w:p w14:paraId="43945F2A" w14:textId="77777777" w:rsidR="00EE4038" w:rsidRPr="00941D7C" w:rsidRDefault="00EE4038" w:rsidP="00EE4038">
      <w:pPr>
        <w:keepNext/>
      </w:pPr>
      <w:r w:rsidRPr="00941D7C">
        <w:rPr>
          <w:rStyle w:val="HideTWBExt"/>
        </w:rPr>
        <w:t>&lt;DocAmend2&gt;</w:t>
      </w:r>
      <w:r w:rsidRPr="00941D7C">
        <w:t>Directive 2013/34/EU</w:t>
      </w:r>
      <w:r w:rsidRPr="00941D7C">
        <w:rPr>
          <w:rStyle w:val="HideTWBExt"/>
        </w:rPr>
        <w:t>&lt;/DocAmend2&gt;</w:t>
      </w:r>
    </w:p>
    <w:p w14:paraId="2E13A33A" w14:textId="77777777" w:rsidR="00EE4038" w:rsidRPr="00941D7C" w:rsidRDefault="00EE4038" w:rsidP="00EE4038">
      <w:r w:rsidRPr="00941D7C">
        <w:rPr>
          <w:rStyle w:val="HideTWBExt"/>
        </w:rPr>
        <w:t>&lt;Article2&gt;</w:t>
      </w:r>
      <w:r w:rsidRPr="00941D7C">
        <w:t>Article 34 – paragraph 2a</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6E241A9B" w14:textId="77777777" w:rsidTr="00EE4038">
        <w:trPr>
          <w:jc w:val="center"/>
        </w:trPr>
        <w:tc>
          <w:tcPr>
            <w:tcW w:w="9752" w:type="dxa"/>
            <w:gridSpan w:val="2"/>
          </w:tcPr>
          <w:p w14:paraId="4269C129" w14:textId="77777777" w:rsidR="00EE4038" w:rsidRPr="00941D7C" w:rsidRDefault="00EE4038">
            <w:pPr>
              <w:keepNext/>
            </w:pPr>
          </w:p>
        </w:tc>
      </w:tr>
      <w:tr w:rsidR="00EE4038" w:rsidRPr="00941D7C" w14:paraId="2D0AD32D" w14:textId="77777777" w:rsidTr="00EE4038">
        <w:trPr>
          <w:jc w:val="center"/>
        </w:trPr>
        <w:tc>
          <w:tcPr>
            <w:tcW w:w="4876" w:type="dxa"/>
            <w:hideMark/>
          </w:tcPr>
          <w:p w14:paraId="7A1DAEE8"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5FCBEB32" w14:textId="77777777" w:rsidR="00EE4038" w:rsidRPr="00941D7C" w:rsidRDefault="00EE4038">
            <w:pPr>
              <w:pStyle w:val="ColumnHeading"/>
              <w:keepNext/>
              <w:rPr>
                <w:lang w:val="en-GB"/>
              </w:rPr>
            </w:pPr>
            <w:r w:rsidRPr="00941D7C">
              <w:rPr>
                <w:lang w:val="en-GB"/>
              </w:rPr>
              <w:t>Amendment</w:t>
            </w:r>
          </w:p>
        </w:tc>
      </w:tr>
      <w:tr w:rsidR="00EE4038" w:rsidRPr="00941D7C" w14:paraId="504462DC" w14:textId="77777777" w:rsidTr="00EE4038">
        <w:trPr>
          <w:jc w:val="center"/>
        </w:trPr>
        <w:tc>
          <w:tcPr>
            <w:tcW w:w="4876" w:type="dxa"/>
            <w:hideMark/>
          </w:tcPr>
          <w:p w14:paraId="13544269" w14:textId="77777777" w:rsidR="00EE4038" w:rsidRPr="00941D7C" w:rsidRDefault="00EE4038">
            <w:pPr>
              <w:pStyle w:val="Normal6"/>
              <w:rPr>
                <w:lang w:val="en-GB"/>
              </w:rPr>
            </w:pPr>
            <w:r w:rsidRPr="00941D7C">
              <w:rPr>
                <w:lang w:val="en-GB"/>
              </w:rPr>
              <w:t>‘2a.</w:t>
            </w:r>
            <w:r w:rsidRPr="00941D7C">
              <w:rPr>
                <w:lang w:val="en-GB"/>
              </w:rPr>
              <w:tab/>
              <w:t xml:space="preserve">Member States shall ensure that the opinion referred to in paragraph 1, second subparagraph, point (aa), is prepared in full respect of the obligation on undertakings not to seek to obtain from undertakings in their </w:t>
            </w:r>
            <w:r w:rsidRPr="00941D7C">
              <w:rPr>
                <w:b/>
                <w:i/>
                <w:lang w:val="en-GB"/>
              </w:rPr>
              <w:t>value</w:t>
            </w:r>
            <w:r w:rsidRPr="00941D7C">
              <w:rPr>
                <w:lang w:val="en-GB"/>
              </w:rPr>
              <w:t xml:space="preserve"> chain which, on their balance sheet dates, do not exceed the average number of </w:t>
            </w:r>
            <w:r w:rsidRPr="00941D7C">
              <w:rPr>
                <w:b/>
                <w:i/>
                <w:lang w:val="en-GB"/>
              </w:rPr>
              <w:t>1000</w:t>
            </w:r>
            <w:r w:rsidRPr="00941D7C">
              <w:rPr>
                <w:lang w:val="en-GB"/>
              </w:rPr>
              <w:t xml:space="preserve"> employees during the financial year any information that exceeds the information specified in the standards for voluntary use referred to in Article 29ca, except for additional sustainability information that is commonly shared between undertakings in the sector concerned.’;</w:t>
            </w:r>
          </w:p>
        </w:tc>
        <w:tc>
          <w:tcPr>
            <w:tcW w:w="4876" w:type="dxa"/>
            <w:hideMark/>
          </w:tcPr>
          <w:p w14:paraId="2284808D" w14:textId="77777777" w:rsidR="00EE4038" w:rsidRPr="00941D7C" w:rsidRDefault="00EE4038">
            <w:pPr>
              <w:pStyle w:val="Normal6"/>
              <w:rPr>
                <w:szCs w:val="24"/>
                <w:lang w:val="en-GB"/>
              </w:rPr>
            </w:pPr>
            <w:r w:rsidRPr="00941D7C">
              <w:rPr>
                <w:lang w:val="en-GB"/>
              </w:rPr>
              <w:t>‘2a.</w:t>
            </w:r>
            <w:r w:rsidRPr="00941D7C">
              <w:rPr>
                <w:lang w:val="en-GB"/>
              </w:rPr>
              <w:tab/>
              <w:t xml:space="preserve">Member States shall ensure that the opinion referred to in paragraph 1, second subparagraph, point (aa), is prepared in full respect of the obligation on undertakings not to seek to obtain from undertakings in their chain </w:t>
            </w:r>
            <w:r w:rsidRPr="00941D7C">
              <w:rPr>
                <w:b/>
                <w:i/>
                <w:lang w:val="en-GB"/>
              </w:rPr>
              <w:t>of activities</w:t>
            </w:r>
            <w:r w:rsidRPr="00941D7C">
              <w:rPr>
                <w:lang w:val="en-GB"/>
              </w:rPr>
              <w:t xml:space="preserve"> which, on their balance sheet dates, do not exceed the average number of </w:t>
            </w:r>
            <w:r w:rsidRPr="00941D7C">
              <w:rPr>
                <w:b/>
                <w:i/>
                <w:lang w:val="en-GB"/>
              </w:rPr>
              <w:t>3000</w:t>
            </w:r>
            <w:r w:rsidRPr="00941D7C">
              <w:rPr>
                <w:lang w:val="en-GB"/>
              </w:rPr>
              <w:t xml:space="preserve"> employees </w:t>
            </w:r>
            <w:r w:rsidRPr="00941D7C">
              <w:rPr>
                <w:b/>
                <w:i/>
                <w:lang w:val="en-GB"/>
              </w:rPr>
              <w:t>and a net turnover of EUR 450 000 000</w:t>
            </w:r>
            <w:r w:rsidRPr="00941D7C">
              <w:rPr>
                <w:lang w:val="en-GB"/>
              </w:rPr>
              <w:t xml:space="preserve"> during the financial year any information that exceeds the information specified in the standards for voluntary use referred to in Article 29ca, except for additional sustainability information that is commonly shared between undertakings in the sector concerned.’;</w:t>
            </w:r>
          </w:p>
        </w:tc>
      </w:tr>
    </w:tbl>
    <w:p w14:paraId="6A917041"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688C61C0" w14:textId="77777777" w:rsidR="00EE4038" w:rsidRPr="00941D7C" w:rsidRDefault="00EE4038" w:rsidP="00EE4038">
      <w:r w:rsidRPr="00941D7C">
        <w:rPr>
          <w:rStyle w:val="HideTWBExt"/>
        </w:rPr>
        <w:t>&lt;/Amend&gt;</w:t>
      </w:r>
    </w:p>
    <w:p w14:paraId="6C8EF16B" w14:textId="7AC04D47"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48</w:t>
      </w:r>
      <w:r w:rsidRPr="00941D7C">
        <w:rPr>
          <w:rStyle w:val="HideTWBExt"/>
          <w:lang w:val="en-GB"/>
        </w:rPr>
        <w:t>&lt;/NumAm&gt;</w:t>
      </w:r>
    </w:p>
    <w:p w14:paraId="42D07A93"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52FB3809"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2 – paragraph 1 – point 12 – point a</w:t>
      </w:r>
      <w:r w:rsidRPr="008C7353">
        <w:rPr>
          <w:rStyle w:val="HideTWBExt"/>
          <w:lang w:val="fr-FR"/>
        </w:rPr>
        <w:t>&lt;/Article&gt;</w:t>
      </w:r>
    </w:p>
    <w:p w14:paraId="0AA19AEC" w14:textId="77777777" w:rsidR="00EE4038" w:rsidRPr="00941D7C" w:rsidRDefault="00EE4038" w:rsidP="00EE4038">
      <w:pPr>
        <w:keepNext/>
      </w:pPr>
      <w:r w:rsidRPr="00941D7C">
        <w:rPr>
          <w:rStyle w:val="HideTWBExt"/>
        </w:rPr>
        <w:t>&lt;DocAmend2&gt;</w:t>
      </w:r>
      <w:r w:rsidRPr="00941D7C">
        <w:t>Directive 2013/34/EU</w:t>
      </w:r>
      <w:r w:rsidRPr="00941D7C">
        <w:rPr>
          <w:rStyle w:val="HideTWBExt"/>
        </w:rPr>
        <w:t>&lt;/DocAmend2&gt;</w:t>
      </w:r>
    </w:p>
    <w:p w14:paraId="74C1078E" w14:textId="77777777" w:rsidR="00EE4038" w:rsidRPr="00941D7C" w:rsidRDefault="00EE4038" w:rsidP="00EE4038">
      <w:r w:rsidRPr="00941D7C">
        <w:rPr>
          <w:rStyle w:val="HideTWBExt"/>
        </w:rPr>
        <w:t>&lt;Article2&gt;</w:t>
      </w:r>
      <w:r w:rsidRPr="00941D7C">
        <w:t>Article 40a – paragraph 1 – subparagraph 2</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6FFCEDEE" w14:textId="77777777" w:rsidTr="00EE4038">
        <w:trPr>
          <w:jc w:val="center"/>
        </w:trPr>
        <w:tc>
          <w:tcPr>
            <w:tcW w:w="9752" w:type="dxa"/>
            <w:gridSpan w:val="2"/>
          </w:tcPr>
          <w:p w14:paraId="2C4BB8CA" w14:textId="77777777" w:rsidR="00EE4038" w:rsidRPr="00941D7C" w:rsidRDefault="00EE4038">
            <w:pPr>
              <w:keepNext/>
            </w:pPr>
          </w:p>
        </w:tc>
      </w:tr>
      <w:tr w:rsidR="00EE4038" w:rsidRPr="00941D7C" w14:paraId="7E4C7E4F" w14:textId="77777777" w:rsidTr="00EE4038">
        <w:trPr>
          <w:jc w:val="center"/>
        </w:trPr>
        <w:tc>
          <w:tcPr>
            <w:tcW w:w="4876" w:type="dxa"/>
            <w:hideMark/>
          </w:tcPr>
          <w:p w14:paraId="5540A76A"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2C637356" w14:textId="77777777" w:rsidR="00EE4038" w:rsidRPr="00941D7C" w:rsidRDefault="00EE4038">
            <w:pPr>
              <w:pStyle w:val="ColumnHeading"/>
              <w:keepNext/>
              <w:rPr>
                <w:lang w:val="en-GB"/>
              </w:rPr>
            </w:pPr>
            <w:r w:rsidRPr="00941D7C">
              <w:rPr>
                <w:lang w:val="en-GB"/>
              </w:rPr>
              <w:t>Amendment</w:t>
            </w:r>
          </w:p>
        </w:tc>
      </w:tr>
      <w:tr w:rsidR="00EE4038" w:rsidRPr="00941D7C" w14:paraId="7039F844" w14:textId="77777777" w:rsidTr="00EE4038">
        <w:trPr>
          <w:jc w:val="center"/>
        </w:trPr>
        <w:tc>
          <w:tcPr>
            <w:tcW w:w="4876" w:type="dxa"/>
            <w:hideMark/>
          </w:tcPr>
          <w:p w14:paraId="57969542" w14:textId="77777777" w:rsidR="00EE4038" w:rsidRPr="00941D7C" w:rsidRDefault="00EE4038">
            <w:pPr>
              <w:pStyle w:val="Normal6"/>
              <w:rPr>
                <w:lang w:val="en-GB"/>
              </w:rPr>
            </w:pPr>
            <w:r w:rsidRPr="00941D7C">
              <w:rPr>
                <w:lang w:val="en-GB"/>
              </w:rPr>
              <w:t xml:space="preserve">‘The first subparagraph shall only apply to </w:t>
            </w:r>
            <w:r w:rsidRPr="00941D7C">
              <w:rPr>
                <w:b/>
                <w:i/>
                <w:lang w:val="en-GB"/>
              </w:rPr>
              <w:t>large</w:t>
            </w:r>
            <w:r w:rsidRPr="00941D7C">
              <w:rPr>
                <w:lang w:val="en-GB"/>
              </w:rPr>
              <w:t xml:space="preserve"> subsidiary undertakings </w:t>
            </w:r>
            <w:r w:rsidRPr="00941D7C">
              <w:rPr>
                <w:b/>
                <w:i/>
                <w:lang w:val="en-GB"/>
              </w:rPr>
              <w:t>as defined in Article 3(4) of this Directive.</w:t>
            </w:r>
            <w:r w:rsidRPr="00941D7C">
              <w:rPr>
                <w:lang w:val="en-GB"/>
              </w:rPr>
              <w:t>’;</w:t>
            </w:r>
          </w:p>
        </w:tc>
        <w:tc>
          <w:tcPr>
            <w:tcW w:w="4876" w:type="dxa"/>
            <w:hideMark/>
          </w:tcPr>
          <w:p w14:paraId="46E8E8DB" w14:textId="5A79690F" w:rsidR="00EE4038" w:rsidRPr="00941D7C" w:rsidRDefault="00EE4038">
            <w:pPr>
              <w:pStyle w:val="Normal6"/>
              <w:rPr>
                <w:szCs w:val="24"/>
                <w:lang w:val="en-GB"/>
              </w:rPr>
            </w:pPr>
            <w:r w:rsidRPr="00941D7C">
              <w:rPr>
                <w:lang w:val="en-GB"/>
              </w:rPr>
              <w:t xml:space="preserve">‘The first subparagraph shall only apply to subsidiary undertakings </w:t>
            </w:r>
            <w:r w:rsidRPr="00941D7C">
              <w:rPr>
                <w:b/>
                <w:i/>
                <w:lang w:val="en-GB"/>
              </w:rPr>
              <w:t>which, on their balance sheet dates, exceed the average number of 3000 employees and a net turnover of EUR 450 000 000 in the preceding financial year.</w:t>
            </w:r>
            <w:r w:rsidRPr="00941D7C">
              <w:rPr>
                <w:lang w:val="en-GB"/>
              </w:rPr>
              <w:t>’</w:t>
            </w:r>
            <w:r w:rsidR="00DD0B81" w:rsidRPr="00941D7C">
              <w:rPr>
                <w:lang w:val="en-GB"/>
              </w:rPr>
              <w:t>;</w:t>
            </w:r>
          </w:p>
        </w:tc>
      </w:tr>
    </w:tbl>
    <w:p w14:paraId="7AF63951"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5301D8ED" w14:textId="77777777" w:rsidR="00EE4038" w:rsidRPr="00941D7C" w:rsidRDefault="00EE4038" w:rsidP="00EE4038">
      <w:r w:rsidRPr="00941D7C">
        <w:rPr>
          <w:rStyle w:val="HideTWBExt"/>
        </w:rPr>
        <w:t>&lt;/Amend&gt;</w:t>
      </w:r>
    </w:p>
    <w:p w14:paraId="08EBE9B9" w14:textId="3E618BD6"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49</w:t>
      </w:r>
      <w:r w:rsidRPr="00941D7C">
        <w:rPr>
          <w:rStyle w:val="HideTWBExt"/>
          <w:lang w:val="en-GB"/>
        </w:rPr>
        <w:t>&lt;/NumAm&gt;</w:t>
      </w:r>
    </w:p>
    <w:p w14:paraId="5D7207B7"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7A9EE971"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2 – paragraph 1 – point 12 – point b</w:t>
      </w:r>
      <w:r w:rsidRPr="008C7353">
        <w:rPr>
          <w:rStyle w:val="HideTWBExt"/>
          <w:lang w:val="fr-FR"/>
        </w:rPr>
        <w:t>&lt;/Article&gt;</w:t>
      </w:r>
    </w:p>
    <w:p w14:paraId="3D6E9ED2" w14:textId="77777777" w:rsidR="00EE4038" w:rsidRPr="00941D7C" w:rsidRDefault="00EE4038" w:rsidP="00EE4038">
      <w:pPr>
        <w:keepNext/>
      </w:pPr>
      <w:r w:rsidRPr="00941D7C">
        <w:rPr>
          <w:rStyle w:val="HideTWBExt"/>
        </w:rPr>
        <w:t>&lt;DocAmend2&gt;</w:t>
      </w:r>
      <w:r w:rsidRPr="00941D7C">
        <w:t>Directive 2013/34/EU</w:t>
      </w:r>
      <w:r w:rsidRPr="00941D7C">
        <w:rPr>
          <w:rStyle w:val="HideTWBExt"/>
        </w:rPr>
        <w:t>&lt;/DocAmend2&gt;</w:t>
      </w:r>
    </w:p>
    <w:p w14:paraId="57CFA10D" w14:textId="77777777" w:rsidR="00EE4038" w:rsidRPr="00941D7C" w:rsidRDefault="00EE4038" w:rsidP="00EE4038">
      <w:r w:rsidRPr="00941D7C">
        <w:rPr>
          <w:rStyle w:val="HideTWBExt"/>
        </w:rPr>
        <w:t>&lt;Article2&gt;</w:t>
      </w:r>
      <w:r w:rsidRPr="00941D7C">
        <w:t>Article 40a – paragraph 1 – subparagraphs 4 and 5</w:t>
      </w:r>
      <w:r w:rsidRPr="00941D7C">
        <w:rPr>
          <w:rStyle w:val="HideTWBExt"/>
        </w:rPr>
        <w:t>&lt;/Article2&gt;</w:t>
      </w:r>
    </w:p>
    <w:tbl>
      <w:tblPr>
        <w:tblW w:w="0"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7BC41575" w14:textId="77777777" w:rsidTr="00EE4038">
        <w:trPr>
          <w:jc w:val="center"/>
        </w:trPr>
        <w:tc>
          <w:tcPr>
            <w:tcW w:w="9752" w:type="dxa"/>
            <w:gridSpan w:val="2"/>
          </w:tcPr>
          <w:p w14:paraId="5362437E" w14:textId="77777777" w:rsidR="00EE4038" w:rsidRPr="00941D7C" w:rsidRDefault="00EE4038">
            <w:pPr>
              <w:keepNext/>
            </w:pPr>
          </w:p>
        </w:tc>
      </w:tr>
      <w:tr w:rsidR="00EE4038" w:rsidRPr="00941D7C" w14:paraId="20472860" w14:textId="77777777" w:rsidTr="00EE4038">
        <w:trPr>
          <w:jc w:val="center"/>
        </w:trPr>
        <w:tc>
          <w:tcPr>
            <w:tcW w:w="4876" w:type="dxa"/>
            <w:hideMark/>
          </w:tcPr>
          <w:p w14:paraId="2C781DCB"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171BCAFE" w14:textId="77777777" w:rsidR="00EE4038" w:rsidRPr="00941D7C" w:rsidRDefault="00EE4038">
            <w:pPr>
              <w:pStyle w:val="ColumnHeading"/>
              <w:keepNext/>
              <w:rPr>
                <w:lang w:val="en-GB"/>
              </w:rPr>
            </w:pPr>
            <w:r w:rsidRPr="00941D7C">
              <w:rPr>
                <w:lang w:val="en-GB"/>
              </w:rPr>
              <w:t>Amendment</w:t>
            </w:r>
          </w:p>
        </w:tc>
      </w:tr>
      <w:tr w:rsidR="00EE4038" w:rsidRPr="00941D7C" w14:paraId="1DBDEF73" w14:textId="77777777" w:rsidTr="00EE4038">
        <w:trPr>
          <w:jc w:val="center"/>
        </w:trPr>
        <w:tc>
          <w:tcPr>
            <w:tcW w:w="4876" w:type="dxa"/>
            <w:hideMark/>
          </w:tcPr>
          <w:p w14:paraId="64E4A3E5" w14:textId="3F3E7213" w:rsidR="00EE4038" w:rsidRPr="00941D7C" w:rsidRDefault="00EE4038">
            <w:pPr>
              <w:pStyle w:val="Normal6"/>
              <w:rPr>
                <w:lang w:val="en-GB"/>
              </w:rPr>
            </w:pPr>
            <w:r w:rsidRPr="00941D7C">
              <w:rPr>
                <w:b/>
                <w:i/>
                <w:lang w:val="en-GB"/>
              </w:rPr>
              <w:t>‘</w:t>
            </w:r>
            <w:r w:rsidRPr="00941D7C">
              <w:rPr>
                <w:lang w:val="en-GB"/>
              </w:rPr>
              <w:t xml:space="preserve">The rule referred to in the third subparagraph shall only apply to a branch where the third-country undertaking does not have a subsidiary undertaking as referred to in the first subparagraph, and where the branch generated a net turnover exceeding </w:t>
            </w:r>
            <w:r w:rsidRPr="00941D7C">
              <w:rPr>
                <w:b/>
                <w:i/>
                <w:lang w:val="en-GB"/>
              </w:rPr>
              <w:t>the threshold referred to in Article 3(4) point (b) of this Directive</w:t>
            </w:r>
            <w:r w:rsidRPr="00941D7C">
              <w:rPr>
                <w:lang w:val="en-GB"/>
              </w:rPr>
              <w:t xml:space="preserve"> in the preceding financial year.</w:t>
            </w:r>
            <w:r w:rsidRPr="00941D7C">
              <w:rPr>
                <w:b/>
                <w:i/>
                <w:lang w:val="en-GB"/>
              </w:rPr>
              <w:t xml:space="preserve"> </w:t>
            </w:r>
          </w:p>
        </w:tc>
        <w:tc>
          <w:tcPr>
            <w:tcW w:w="4876" w:type="dxa"/>
            <w:hideMark/>
          </w:tcPr>
          <w:p w14:paraId="32706ACC" w14:textId="4BFAD892" w:rsidR="00EE4038" w:rsidRPr="00941D7C" w:rsidRDefault="00EE4038">
            <w:pPr>
              <w:pStyle w:val="Normal6"/>
              <w:rPr>
                <w:szCs w:val="24"/>
                <w:lang w:val="en-GB"/>
              </w:rPr>
            </w:pPr>
            <w:r w:rsidRPr="00941D7C">
              <w:rPr>
                <w:b/>
                <w:i/>
                <w:lang w:val="en-GB"/>
              </w:rPr>
              <w:t>‘</w:t>
            </w:r>
            <w:r w:rsidRPr="00941D7C">
              <w:rPr>
                <w:lang w:val="en-GB"/>
              </w:rPr>
              <w:t xml:space="preserve">The rule referred to in the third subparagraph shall only apply to a branch where the third-country undertaking does not have a subsidiary undertaking as referred to in the first subparagraph, and where the branch generated a net turnover exceeding </w:t>
            </w:r>
            <w:r w:rsidRPr="00941D7C">
              <w:rPr>
                <w:b/>
                <w:i/>
                <w:lang w:val="en-GB"/>
              </w:rPr>
              <w:t>EUR 450 000 000</w:t>
            </w:r>
            <w:r w:rsidRPr="00941D7C">
              <w:rPr>
                <w:lang w:val="en-GB"/>
              </w:rPr>
              <w:t xml:space="preserve"> in the preceding financial year.</w:t>
            </w:r>
            <w:r w:rsidRPr="00941D7C">
              <w:rPr>
                <w:b/>
                <w:i/>
                <w:lang w:val="en-GB"/>
              </w:rPr>
              <w:t>’</w:t>
            </w:r>
          </w:p>
        </w:tc>
      </w:tr>
      <w:tr w:rsidR="00EE4038" w:rsidRPr="00941D7C" w14:paraId="1207FD68" w14:textId="77777777" w:rsidTr="00EE4038">
        <w:trPr>
          <w:jc w:val="center"/>
        </w:trPr>
        <w:tc>
          <w:tcPr>
            <w:tcW w:w="4876" w:type="dxa"/>
            <w:hideMark/>
          </w:tcPr>
          <w:p w14:paraId="1A97D25E" w14:textId="59AB1ADE" w:rsidR="00EE4038" w:rsidRPr="00941D7C" w:rsidRDefault="00EE4038">
            <w:pPr>
              <w:pStyle w:val="Normal6"/>
              <w:rPr>
                <w:b/>
                <w:i/>
                <w:lang w:val="en-GB"/>
              </w:rPr>
            </w:pPr>
            <w:r w:rsidRPr="00941D7C">
              <w:rPr>
                <w:b/>
                <w:i/>
                <w:lang w:val="en-GB"/>
              </w:rPr>
              <w:t>The first and third subparagraphs shall only apply to the subsidiary undertakings or branches referred to in those subparagraphs where the third-country undertaking, at its group level, or, if not applicable, the individual level, generated a net turnover in the Union exceeding EUR 450 000 000 for each of the last two consecutive financial years.’</w:t>
            </w:r>
          </w:p>
        </w:tc>
        <w:tc>
          <w:tcPr>
            <w:tcW w:w="4876" w:type="dxa"/>
            <w:hideMark/>
          </w:tcPr>
          <w:p w14:paraId="4D6E0D7B" w14:textId="143299EE" w:rsidR="00EE4038" w:rsidRPr="00941D7C" w:rsidRDefault="00EE4038">
            <w:pPr>
              <w:pStyle w:val="Normal6"/>
              <w:rPr>
                <w:b/>
                <w:i/>
                <w:lang w:val="en-GB"/>
              </w:rPr>
            </w:pPr>
          </w:p>
        </w:tc>
      </w:tr>
    </w:tbl>
    <w:p w14:paraId="57912A77"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7716ED18" w14:textId="77777777" w:rsidR="00EE4038" w:rsidRPr="00941D7C" w:rsidRDefault="00EE4038" w:rsidP="00EE4038">
      <w:r w:rsidRPr="00941D7C">
        <w:rPr>
          <w:rStyle w:val="HideTWBExt"/>
        </w:rPr>
        <w:t>&lt;/Amend&gt;</w:t>
      </w:r>
    </w:p>
    <w:p w14:paraId="4592B811" w14:textId="74480CC9"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50</w:t>
      </w:r>
      <w:r w:rsidRPr="00941D7C">
        <w:rPr>
          <w:rStyle w:val="HideTWBExt"/>
          <w:lang w:val="en-GB"/>
        </w:rPr>
        <w:t>&lt;/NumAm&gt;</w:t>
      </w:r>
    </w:p>
    <w:p w14:paraId="28AC31E1"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71024613"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3 – paragraph 1 – point 1 – point b – point i</w:t>
      </w:r>
      <w:r w:rsidRPr="008C7353">
        <w:rPr>
          <w:rStyle w:val="HideTWBExt"/>
          <w:lang w:val="fr-FR"/>
        </w:rPr>
        <w:t>&lt;/Article&gt;</w:t>
      </w:r>
    </w:p>
    <w:p w14:paraId="7F472FB9" w14:textId="77777777" w:rsidR="00EE4038" w:rsidRPr="008C7353" w:rsidRDefault="00EE4038" w:rsidP="00EE4038">
      <w:pPr>
        <w:keepNext/>
        <w:rPr>
          <w:lang w:val="fr-FR"/>
        </w:rPr>
      </w:pPr>
      <w:r w:rsidRPr="008C7353">
        <w:rPr>
          <w:rStyle w:val="HideTWBExt"/>
          <w:lang w:val="fr-FR"/>
        </w:rPr>
        <w:t>&lt;DocAmend2&gt;</w:t>
      </w:r>
      <w:r w:rsidRPr="008C7353">
        <w:rPr>
          <w:lang w:val="fr-FR"/>
        </w:rPr>
        <w:t>Directive (EU) 2022/2464</w:t>
      </w:r>
      <w:r w:rsidRPr="008C7353">
        <w:rPr>
          <w:rStyle w:val="HideTWBExt"/>
          <w:lang w:val="fr-FR"/>
        </w:rPr>
        <w:t>&lt;/DocAmend2&gt;</w:t>
      </w:r>
    </w:p>
    <w:p w14:paraId="68FED0E7" w14:textId="77777777" w:rsidR="00EE4038" w:rsidRPr="008C7353" w:rsidRDefault="00EE4038" w:rsidP="00EE4038">
      <w:pPr>
        <w:rPr>
          <w:lang w:val="fr-FR"/>
        </w:rPr>
      </w:pPr>
      <w:r w:rsidRPr="008C7353">
        <w:rPr>
          <w:rStyle w:val="HideTWBExt"/>
          <w:lang w:val="fr-FR"/>
        </w:rPr>
        <w:t>&lt;Article2&gt;</w:t>
      </w:r>
      <w:r w:rsidRPr="008C7353">
        <w:rPr>
          <w:lang w:val="fr-FR"/>
        </w:rPr>
        <w:t>Article 5 – paragraph 2 – subparagraph 1 – point b - point i</w:t>
      </w:r>
      <w:r w:rsidRPr="008C7353">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8C7353" w14:paraId="4AA741A0" w14:textId="77777777" w:rsidTr="00EE4038">
        <w:trPr>
          <w:jc w:val="center"/>
        </w:trPr>
        <w:tc>
          <w:tcPr>
            <w:tcW w:w="9752" w:type="dxa"/>
            <w:gridSpan w:val="2"/>
          </w:tcPr>
          <w:p w14:paraId="12A12223" w14:textId="77777777" w:rsidR="00EE4038" w:rsidRPr="008C7353" w:rsidRDefault="00EE4038">
            <w:pPr>
              <w:keepNext/>
              <w:rPr>
                <w:lang w:val="fr-FR"/>
              </w:rPr>
            </w:pPr>
          </w:p>
        </w:tc>
      </w:tr>
      <w:tr w:rsidR="00EE4038" w:rsidRPr="00941D7C" w14:paraId="4652D3F8" w14:textId="77777777" w:rsidTr="00EE4038">
        <w:trPr>
          <w:jc w:val="center"/>
        </w:trPr>
        <w:tc>
          <w:tcPr>
            <w:tcW w:w="4876" w:type="dxa"/>
            <w:hideMark/>
          </w:tcPr>
          <w:p w14:paraId="0D8D77B6"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073639C4" w14:textId="77777777" w:rsidR="00EE4038" w:rsidRPr="00941D7C" w:rsidRDefault="00EE4038">
            <w:pPr>
              <w:pStyle w:val="ColumnHeading"/>
              <w:keepNext/>
              <w:rPr>
                <w:lang w:val="en-GB"/>
              </w:rPr>
            </w:pPr>
            <w:r w:rsidRPr="00941D7C">
              <w:rPr>
                <w:lang w:val="en-GB"/>
              </w:rPr>
              <w:t>Amendment</w:t>
            </w:r>
          </w:p>
        </w:tc>
      </w:tr>
      <w:tr w:rsidR="00EE4038" w:rsidRPr="00941D7C" w14:paraId="3B187354" w14:textId="77777777" w:rsidTr="00EE4038">
        <w:trPr>
          <w:jc w:val="center"/>
        </w:trPr>
        <w:tc>
          <w:tcPr>
            <w:tcW w:w="4876" w:type="dxa"/>
            <w:hideMark/>
          </w:tcPr>
          <w:p w14:paraId="729A9AAC" w14:textId="77777777" w:rsidR="00EE4038" w:rsidRPr="00941D7C" w:rsidRDefault="00EE4038">
            <w:pPr>
              <w:pStyle w:val="Normal6"/>
              <w:rPr>
                <w:lang w:val="en-GB"/>
              </w:rPr>
            </w:pPr>
            <w:r w:rsidRPr="00941D7C">
              <w:rPr>
                <w:lang w:val="en-GB"/>
              </w:rPr>
              <w:t>‘(i)</w:t>
            </w:r>
            <w:r w:rsidRPr="00941D7C">
              <w:rPr>
                <w:lang w:val="en-GB"/>
              </w:rPr>
              <w:tab/>
              <w:t xml:space="preserve">to </w:t>
            </w:r>
            <w:r w:rsidRPr="00941D7C">
              <w:rPr>
                <w:b/>
                <w:i/>
                <w:lang w:val="en-GB"/>
              </w:rPr>
              <w:t>large</w:t>
            </w:r>
            <w:r w:rsidRPr="00941D7C">
              <w:rPr>
                <w:lang w:val="en-GB"/>
              </w:rPr>
              <w:t xml:space="preserve"> undertakings which, on their balance sheet dates, exceed the average number of </w:t>
            </w:r>
            <w:r w:rsidRPr="00941D7C">
              <w:rPr>
                <w:b/>
                <w:i/>
                <w:lang w:val="en-GB"/>
              </w:rPr>
              <w:t>1000</w:t>
            </w:r>
            <w:r w:rsidRPr="00941D7C">
              <w:rPr>
                <w:lang w:val="en-GB"/>
              </w:rPr>
              <w:t xml:space="preserve"> employees during the financial year;’;</w:t>
            </w:r>
          </w:p>
        </w:tc>
        <w:tc>
          <w:tcPr>
            <w:tcW w:w="4876" w:type="dxa"/>
            <w:hideMark/>
          </w:tcPr>
          <w:p w14:paraId="302CA090" w14:textId="77777777" w:rsidR="00EE4038" w:rsidRPr="00941D7C" w:rsidRDefault="00EE4038">
            <w:pPr>
              <w:pStyle w:val="Normal6"/>
              <w:rPr>
                <w:szCs w:val="24"/>
                <w:lang w:val="en-GB"/>
              </w:rPr>
            </w:pPr>
            <w:r w:rsidRPr="00941D7C">
              <w:rPr>
                <w:lang w:val="en-GB"/>
              </w:rPr>
              <w:t>‘(i)</w:t>
            </w:r>
            <w:r w:rsidRPr="00941D7C">
              <w:rPr>
                <w:lang w:val="en-GB"/>
              </w:rPr>
              <w:tab/>
              <w:t xml:space="preserve">to undertakings which, on their balance sheet dates, exceed the average number of </w:t>
            </w:r>
            <w:r w:rsidRPr="00941D7C">
              <w:rPr>
                <w:b/>
                <w:i/>
                <w:lang w:val="en-GB"/>
              </w:rPr>
              <w:t>3000</w:t>
            </w:r>
            <w:r w:rsidRPr="00941D7C">
              <w:rPr>
                <w:lang w:val="en-GB"/>
              </w:rPr>
              <w:t xml:space="preserve"> employees </w:t>
            </w:r>
            <w:r w:rsidRPr="00941D7C">
              <w:rPr>
                <w:b/>
                <w:i/>
                <w:lang w:val="en-GB"/>
              </w:rPr>
              <w:t>and a net turnover of EUR 450 000 000</w:t>
            </w:r>
            <w:r w:rsidRPr="00941D7C">
              <w:rPr>
                <w:lang w:val="en-GB"/>
              </w:rPr>
              <w:t xml:space="preserve"> during the financial year;’;</w:t>
            </w:r>
          </w:p>
        </w:tc>
      </w:tr>
    </w:tbl>
    <w:p w14:paraId="340D2E24"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78AFDFA2" w14:textId="77777777" w:rsidR="00EE4038" w:rsidRPr="00941D7C" w:rsidRDefault="00EE4038" w:rsidP="00EE4038">
      <w:r w:rsidRPr="00941D7C">
        <w:rPr>
          <w:rStyle w:val="HideTWBExt"/>
        </w:rPr>
        <w:t>&lt;/Amend&gt;</w:t>
      </w:r>
    </w:p>
    <w:p w14:paraId="0E2351C6" w14:textId="0B1F663F"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51</w:t>
      </w:r>
      <w:r w:rsidRPr="00941D7C">
        <w:rPr>
          <w:rStyle w:val="HideTWBExt"/>
          <w:lang w:val="en-GB"/>
        </w:rPr>
        <w:t>&lt;/NumAm&gt;</w:t>
      </w:r>
    </w:p>
    <w:p w14:paraId="7C04DF95"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62026258"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3 – paragraph 1 – point 1 – point b – point ii</w:t>
      </w:r>
      <w:r w:rsidRPr="008C7353">
        <w:rPr>
          <w:rStyle w:val="HideTWBExt"/>
          <w:lang w:val="fr-FR"/>
        </w:rPr>
        <w:t>&lt;/Article&gt;</w:t>
      </w:r>
    </w:p>
    <w:p w14:paraId="1083B6B1" w14:textId="77777777" w:rsidR="00EE4038" w:rsidRPr="008C7353" w:rsidRDefault="00EE4038" w:rsidP="00EE4038">
      <w:pPr>
        <w:keepNext/>
        <w:rPr>
          <w:lang w:val="fr-FR"/>
        </w:rPr>
      </w:pPr>
      <w:r w:rsidRPr="008C7353">
        <w:rPr>
          <w:rStyle w:val="HideTWBExt"/>
          <w:lang w:val="fr-FR"/>
        </w:rPr>
        <w:t>&lt;DocAmend2&gt;</w:t>
      </w:r>
      <w:r w:rsidRPr="008C7353">
        <w:rPr>
          <w:lang w:val="fr-FR"/>
        </w:rPr>
        <w:t>Directive (EU) 2022/2464</w:t>
      </w:r>
      <w:r w:rsidRPr="008C7353">
        <w:rPr>
          <w:rStyle w:val="HideTWBExt"/>
          <w:lang w:val="fr-FR"/>
        </w:rPr>
        <w:t>&lt;/DocAmend2&gt;</w:t>
      </w:r>
    </w:p>
    <w:p w14:paraId="28046D48" w14:textId="77777777" w:rsidR="00EE4038" w:rsidRPr="008C7353" w:rsidRDefault="00EE4038" w:rsidP="00EE4038">
      <w:pPr>
        <w:rPr>
          <w:lang w:val="fr-FR"/>
        </w:rPr>
      </w:pPr>
      <w:r w:rsidRPr="008C7353">
        <w:rPr>
          <w:rStyle w:val="HideTWBExt"/>
          <w:lang w:val="fr-FR"/>
        </w:rPr>
        <w:t>&lt;Article2&gt;</w:t>
      </w:r>
      <w:r w:rsidRPr="008C7353">
        <w:rPr>
          <w:lang w:val="fr-FR"/>
        </w:rPr>
        <w:t>Article 5 – paragraph 2 – subparagraph 1 – point b - point ii</w:t>
      </w:r>
      <w:r w:rsidRPr="008C7353">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8C7353" w14:paraId="777519BD" w14:textId="77777777" w:rsidTr="00EE4038">
        <w:trPr>
          <w:jc w:val="center"/>
        </w:trPr>
        <w:tc>
          <w:tcPr>
            <w:tcW w:w="9752" w:type="dxa"/>
            <w:gridSpan w:val="2"/>
          </w:tcPr>
          <w:p w14:paraId="4CE139D9" w14:textId="77777777" w:rsidR="00EE4038" w:rsidRPr="008C7353" w:rsidRDefault="00EE4038">
            <w:pPr>
              <w:keepNext/>
              <w:rPr>
                <w:lang w:val="fr-FR"/>
              </w:rPr>
            </w:pPr>
          </w:p>
        </w:tc>
      </w:tr>
      <w:tr w:rsidR="00EE4038" w:rsidRPr="00941D7C" w14:paraId="74C13E40" w14:textId="77777777" w:rsidTr="00EE4038">
        <w:trPr>
          <w:jc w:val="center"/>
        </w:trPr>
        <w:tc>
          <w:tcPr>
            <w:tcW w:w="4876" w:type="dxa"/>
            <w:hideMark/>
          </w:tcPr>
          <w:p w14:paraId="626954AE"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7DE27C23" w14:textId="77777777" w:rsidR="00EE4038" w:rsidRPr="00941D7C" w:rsidRDefault="00EE4038">
            <w:pPr>
              <w:pStyle w:val="ColumnHeading"/>
              <w:keepNext/>
              <w:rPr>
                <w:lang w:val="en-GB"/>
              </w:rPr>
            </w:pPr>
            <w:r w:rsidRPr="00941D7C">
              <w:rPr>
                <w:lang w:val="en-GB"/>
              </w:rPr>
              <w:t>Amendment</w:t>
            </w:r>
          </w:p>
        </w:tc>
      </w:tr>
      <w:tr w:rsidR="00EE4038" w:rsidRPr="00941D7C" w14:paraId="135B0B94" w14:textId="77777777" w:rsidTr="00EE4038">
        <w:trPr>
          <w:jc w:val="center"/>
        </w:trPr>
        <w:tc>
          <w:tcPr>
            <w:tcW w:w="4876" w:type="dxa"/>
            <w:hideMark/>
          </w:tcPr>
          <w:p w14:paraId="347E210D" w14:textId="77777777" w:rsidR="00EE4038" w:rsidRPr="00941D7C" w:rsidRDefault="00EE4038">
            <w:pPr>
              <w:pStyle w:val="Normal6"/>
              <w:rPr>
                <w:lang w:val="en-GB"/>
              </w:rPr>
            </w:pPr>
            <w:r w:rsidRPr="00941D7C">
              <w:rPr>
                <w:lang w:val="en-GB"/>
              </w:rPr>
              <w:t>‘(ii)</w:t>
            </w:r>
            <w:r w:rsidRPr="00941D7C">
              <w:rPr>
                <w:lang w:val="en-GB"/>
              </w:rPr>
              <w:tab/>
              <w:t xml:space="preserve">to parent undertakings of a </w:t>
            </w:r>
            <w:r w:rsidRPr="00941D7C">
              <w:rPr>
                <w:b/>
                <w:i/>
                <w:lang w:val="en-GB"/>
              </w:rPr>
              <w:t>large</w:t>
            </w:r>
            <w:r w:rsidRPr="00941D7C">
              <w:rPr>
                <w:lang w:val="en-GB"/>
              </w:rPr>
              <w:t xml:space="preserve"> group which, on their balance sheet dates, exceed the average number of </w:t>
            </w:r>
            <w:r w:rsidRPr="00941D7C">
              <w:rPr>
                <w:b/>
                <w:i/>
                <w:lang w:val="en-GB"/>
              </w:rPr>
              <w:t>1000</w:t>
            </w:r>
            <w:r w:rsidRPr="00941D7C">
              <w:rPr>
                <w:lang w:val="en-GB"/>
              </w:rPr>
              <w:t xml:space="preserve"> employees, on a consolidated basis, during the financial year;’;</w:t>
            </w:r>
          </w:p>
        </w:tc>
        <w:tc>
          <w:tcPr>
            <w:tcW w:w="4876" w:type="dxa"/>
            <w:hideMark/>
          </w:tcPr>
          <w:p w14:paraId="65C6B6AE" w14:textId="77777777" w:rsidR="00EE4038" w:rsidRPr="00941D7C" w:rsidRDefault="00EE4038">
            <w:pPr>
              <w:pStyle w:val="Normal6"/>
              <w:rPr>
                <w:szCs w:val="24"/>
                <w:lang w:val="en-GB"/>
              </w:rPr>
            </w:pPr>
            <w:r w:rsidRPr="00941D7C">
              <w:rPr>
                <w:lang w:val="en-GB"/>
              </w:rPr>
              <w:t>‘(ii)</w:t>
            </w:r>
            <w:r w:rsidRPr="00941D7C">
              <w:rPr>
                <w:lang w:val="en-GB"/>
              </w:rPr>
              <w:tab/>
              <w:t xml:space="preserve">to parent undertakings of a group which, on their balance sheet dates, exceed the average number of </w:t>
            </w:r>
            <w:r w:rsidRPr="00941D7C">
              <w:rPr>
                <w:b/>
                <w:i/>
                <w:lang w:val="en-GB"/>
              </w:rPr>
              <w:t>3000</w:t>
            </w:r>
            <w:r w:rsidRPr="00941D7C">
              <w:rPr>
                <w:lang w:val="en-GB"/>
              </w:rPr>
              <w:t xml:space="preserve"> employees </w:t>
            </w:r>
            <w:r w:rsidRPr="00941D7C">
              <w:rPr>
                <w:b/>
                <w:i/>
                <w:lang w:val="en-GB"/>
              </w:rPr>
              <w:t>and a net turnover of EUR 450 000 000</w:t>
            </w:r>
            <w:r w:rsidRPr="00941D7C">
              <w:rPr>
                <w:lang w:val="en-GB"/>
              </w:rPr>
              <w:t>, on a consolidated basis, during the financial year;’;</w:t>
            </w:r>
          </w:p>
        </w:tc>
      </w:tr>
    </w:tbl>
    <w:p w14:paraId="26D7E27E"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4318B851" w14:textId="77777777" w:rsidR="00EE4038" w:rsidRPr="00941D7C" w:rsidRDefault="00EE4038" w:rsidP="00EE4038">
      <w:r w:rsidRPr="00941D7C">
        <w:rPr>
          <w:rStyle w:val="HideTWBExt"/>
        </w:rPr>
        <w:t>&lt;/Amend&gt;</w:t>
      </w:r>
    </w:p>
    <w:p w14:paraId="2663CC46" w14:textId="4EA22FAA"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52</w:t>
      </w:r>
      <w:r w:rsidRPr="00941D7C">
        <w:rPr>
          <w:rStyle w:val="HideTWBExt"/>
          <w:lang w:val="en-GB"/>
        </w:rPr>
        <w:t>&lt;/NumAm&gt;</w:t>
      </w:r>
    </w:p>
    <w:p w14:paraId="5DA072E5"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6F649062"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3 – paragraph 1 – point 2 – point b – point i</w:t>
      </w:r>
      <w:r w:rsidRPr="008C7353">
        <w:rPr>
          <w:rStyle w:val="HideTWBExt"/>
          <w:lang w:val="fr-FR"/>
        </w:rPr>
        <w:t>&lt;/Article&gt;</w:t>
      </w:r>
    </w:p>
    <w:p w14:paraId="0003ED9A" w14:textId="77777777" w:rsidR="00EE4038" w:rsidRPr="008C7353" w:rsidRDefault="00EE4038" w:rsidP="00EE4038">
      <w:pPr>
        <w:keepNext/>
        <w:rPr>
          <w:lang w:val="fr-FR"/>
        </w:rPr>
      </w:pPr>
      <w:r w:rsidRPr="008C7353">
        <w:rPr>
          <w:rStyle w:val="HideTWBExt"/>
          <w:lang w:val="fr-FR"/>
        </w:rPr>
        <w:t>&lt;DocAmend2&gt;</w:t>
      </w:r>
      <w:r w:rsidRPr="008C7353">
        <w:rPr>
          <w:lang w:val="fr-FR"/>
        </w:rPr>
        <w:t>Directive (EU) 2022/2464</w:t>
      </w:r>
      <w:r w:rsidRPr="008C7353">
        <w:rPr>
          <w:rStyle w:val="HideTWBExt"/>
          <w:lang w:val="fr-FR"/>
        </w:rPr>
        <w:t>&lt;/DocAmend2&gt;</w:t>
      </w:r>
    </w:p>
    <w:p w14:paraId="31BED2EF" w14:textId="77777777" w:rsidR="00EE4038" w:rsidRPr="008C7353" w:rsidRDefault="00EE4038" w:rsidP="00EE4038">
      <w:pPr>
        <w:rPr>
          <w:lang w:val="fr-FR"/>
        </w:rPr>
      </w:pPr>
      <w:r w:rsidRPr="008C7353">
        <w:rPr>
          <w:rStyle w:val="HideTWBExt"/>
          <w:lang w:val="fr-FR"/>
        </w:rPr>
        <w:t>&lt;Article2&gt;</w:t>
      </w:r>
      <w:r w:rsidRPr="008C7353">
        <w:rPr>
          <w:lang w:val="fr-FR"/>
        </w:rPr>
        <w:t>Article 5 – paragraph 2 – subparagraph 3 – point b – point i</w:t>
      </w:r>
      <w:r w:rsidRPr="008C7353">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8C7353" w14:paraId="5374172D" w14:textId="77777777" w:rsidTr="00EE4038">
        <w:trPr>
          <w:jc w:val="center"/>
        </w:trPr>
        <w:tc>
          <w:tcPr>
            <w:tcW w:w="9752" w:type="dxa"/>
            <w:gridSpan w:val="2"/>
          </w:tcPr>
          <w:p w14:paraId="00AEF831" w14:textId="77777777" w:rsidR="00EE4038" w:rsidRPr="008C7353" w:rsidRDefault="00EE4038">
            <w:pPr>
              <w:keepNext/>
              <w:rPr>
                <w:lang w:val="fr-FR"/>
              </w:rPr>
            </w:pPr>
          </w:p>
        </w:tc>
      </w:tr>
      <w:tr w:rsidR="00EE4038" w:rsidRPr="00941D7C" w14:paraId="479B0763" w14:textId="77777777" w:rsidTr="00EE4038">
        <w:trPr>
          <w:jc w:val="center"/>
        </w:trPr>
        <w:tc>
          <w:tcPr>
            <w:tcW w:w="4876" w:type="dxa"/>
            <w:hideMark/>
          </w:tcPr>
          <w:p w14:paraId="27A9F15B"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3D9CE8C8" w14:textId="77777777" w:rsidR="00EE4038" w:rsidRPr="00941D7C" w:rsidRDefault="00EE4038">
            <w:pPr>
              <w:pStyle w:val="ColumnHeading"/>
              <w:keepNext/>
              <w:rPr>
                <w:lang w:val="en-GB"/>
              </w:rPr>
            </w:pPr>
            <w:r w:rsidRPr="00941D7C">
              <w:rPr>
                <w:lang w:val="en-GB"/>
              </w:rPr>
              <w:t>Amendment</w:t>
            </w:r>
          </w:p>
        </w:tc>
      </w:tr>
      <w:tr w:rsidR="00EE4038" w:rsidRPr="00941D7C" w14:paraId="6A91145F" w14:textId="77777777" w:rsidTr="00EE4038">
        <w:trPr>
          <w:jc w:val="center"/>
        </w:trPr>
        <w:tc>
          <w:tcPr>
            <w:tcW w:w="4876" w:type="dxa"/>
            <w:hideMark/>
          </w:tcPr>
          <w:p w14:paraId="21774CCA" w14:textId="77777777" w:rsidR="00EE4038" w:rsidRPr="00941D7C" w:rsidRDefault="00EE4038">
            <w:pPr>
              <w:pStyle w:val="Normal6"/>
              <w:rPr>
                <w:lang w:val="en-GB"/>
              </w:rPr>
            </w:pPr>
            <w:r w:rsidRPr="00941D7C">
              <w:rPr>
                <w:lang w:val="en-GB"/>
              </w:rPr>
              <w:t>‘(i)</w:t>
            </w:r>
            <w:r w:rsidRPr="00941D7C">
              <w:rPr>
                <w:lang w:val="en-GB"/>
              </w:rPr>
              <w:tab/>
              <w:t xml:space="preserve">to issuers as defined in Article 2(1), point (d) of Directive 2004/109/EC which are large undertakings within the meaning of Article 3(4) of Directive 2013/34/EU which, on their balance sheet dates, exceed the average number of </w:t>
            </w:r>
            <w:r w:rsidRPr="00941D7C">
              <w:rPr>
                <w:b/>
                <w:i/>
                <w:lang w:val="en-GB"/>
              </w:rPr>
              <w:t>1000</w:t>
            </w:r>
            <w:r w:rsidRPr="00941D7C">
              <w:rPr>
                <w:lang w:val="en-GB"/>
              </w:rPr>
              <w:t xml:space="preserve"> employees during the financial year;’;</w:t>
            </w:r>
          </w:p>
        </w:tc>
        <w:tc>
          <w:tcPr>
            <w:tcW w:w="4876" w:type="dxa"/>
            <w:hideMark/>
          </w:tcPr>
          <w:p w14:paraId="78C9A377" w14:textId="77777777" w:rsidR="00EE4038" w:rsidRPr="00941D7C" w:rsidRDefault="00EE4038">
            <w:pPr>
              <w:pStyle w:val="Normal6"/>
              <w:rPr>
                <w:szCs w:val="24"/>
                <w:lang w:val="en-GB"/>
              </w:rPr>
            </w:pPr>
            <w:r w:rsidRPr="00941D7C">
              <w:rPr>
                <w:lang w:val="en-GB"/>
              </w:rPr>
              <w:t>‘(i)</w:t>
            </w:r>
            <w:r w:rsidRPr="00941D7C">
              <w:rPr>
                <w:lang w:val="en-GB"/>
              </w:rPr>
              <w:tab/>
              <w:t xml:space="preserve">to issuers as defined in Article 2(1), point (d) of Directive 2004/109/EC which are large undertakings within the meaning of Article 3(4) of Directive 2013/34/EU which, on their balance sheet dates, exceed the average number of </w:t>
            </w:r>
            <w:r w:rsidRPr="00941D7C">
              <w:rPr>
                <w:b/>
                <w:i/>
                <w:lang w:val="en-GB"/>
              </w:rPr>
              <w:t>3000</w:t>
            </w:r>
            <w:r w:rsidRPr="00941D7C">
              <w:rPr>
                <w:lang w:val="en-GB"/>
              </w:rPr>
              <w:t xml:space="preserve"> employees </w:t>
            </w:r>
            <w:r w:rsidRPr="00941D7C">
              <w:rPr>
                <w:b/>
                <w:i/>
                <w:lang w:val="en-GB"/>
              </w:rPr>
              <w:t>and a net turnover of EUR 450 000 000</w:t>
            </w:r>
            <w:r w:rsidRPr="00941D7C">
              <w:rPr>
                <w:lang w:val="en-GB"/>
              </w:rPr>
              <w:t xml:space="preserve"> during the financial year;’;</w:t>
            </w:r>
          </w:p>
        </w:tc>
      </w:tr>
    </w:tbl>
    <w:p w14:paraId="5AC7825C"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32E0FB4F" w14:textId="77777777" w:rsidR="00EE4038" w:rsidRPr="00941D7C" w:rsidRDefault="00EE4038" w:rsidP="00EE4038">
      <w:r w:rsidRPr="00941D7C">
        <w:rPr>
          <w:rStyle w:val="HideTWBExt"/>
        </w:rPr>
        <w:t>&lt;/Amend&gt;</w:t>
      </w:r>
    </w:p>
    <w:p w14:paraId="7C15D126" w14:textId="3F0B701D"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53</w:t>
      </w:r>
      <w:r w:rsidRPr="00941D7C">
        <w:rPr>
          <w:rStyle w:val="HideTWBExt"/>
          <w:lang w:val="en-GB"/>
        </w:rPr>
        <w:t>&lt;/NumAm&gt;</w:t>
      </w:r>
    </w:p>
    <w:p w14:paraId="6C059BA2"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2E30875F"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3 – paragraph 1 – point 2 – point b – point ii</w:t>
      </w:r>
      <w:r w:rsidRPr="008C7353">
        <w:rPr>
          <w:rStyle w:val="HideTWBExt"/>
          <w:lang w:val="fr-FR"/>
        </w:rPr>
        <w:t>&lt;/Article&gt;</w:t>
      </w:r>
    </w:p>
    <w:p w14:paraId="16C6022F" w14:textId="77777777" w:rsidR="00EE4038" w:rsidRPr="008C7353" w:rsidRDefault="00EE4038" w:rsidP="00EE4038">
      <w:pPr>
        <w:keepNext/>
        <w:rPr>
          <w:lang w:val="fr-FR"/>
        </w:rPr>
      </w:pPr>
      <w:r w:rsidRPr="008C7353">
        <w:rPr>
          <w:rStyle w:val="HideTWBExt"/>
          <w:lang w:val="fr-FR"/>
        </w:rPr>
        <w:t>&lt;DocAmend2&gt;</w:t>
      </w:r>
      <w:r w:rsidRPr="008C7353">
        <w:rPr>
          <w:lang w:val="fr-FR"/>
        </w:rPr>
        <w:t>Directive (EU) 2022/2464</w:t>
      </w:r>
      <w:r w:rsidRPr="008C7353">
        <w:rPr>
          <w:rStyle w:val="HideTWBExt"/>
          <w:lang w:val="fr-FR"/>
        </w:rPr>
        <w:t>&lt;/DocAmend2&gt;</w:t>
      </w:r>
    </w:p>
    <w:p w14:paraId="454E812B" w14:textId="77777777" w:rsidR="00EE4038" w:rsidRPr="008C7353" w:rsidRDefault="00EE4038" w:rsidP="00EE4038">
      <w:pPr>
        <w:rPr>
          <w:lang w:val="fr-FR"/>
        </w:rPr>
      </w:pPr>
      <w:r w:rsidRPr="008C7353">
        <w:rPr>
          <w:rStyle w:val="HideTWBExt"/>
          <w:lang w:val="fr-FR"/>
        </w:rPr>
        <w:t>&lt;Article2&gt;</w:t>
      </w:r>
      <w:r w:rsidRPr="008C7353">
        <w:rPr>
          <w:lang w:val="fr-FR"/>
        </w:rPr>
        <w:t>Article 5 – paragraph 2 – subparagraph 3 – point b – point ii</w:t>
      </w:r>
      <w:r w:rsidRPr="008C7353">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8C7353" w14:paraId="6B45DE01" w14:textId="77777777" w:rsidTr="00EE4038">
        <w:trPr>
          <w:jc w:val="center"/>
        </w:trPr>
        <w:tc>
          <w:tcPr>
            <w:tcW w:w="9752" w:type="dxa"/>
            <w:gridSpan w:val="2"/>
          </w:tcPr>
          <w:p w14:paraId="6FBE1C05" w14:textId="77777777" w:rsidR="00EE4038" w:rsidRPr="008C7353" w:rsidRDefault="00EE4038">
            <w:pPr>
              <w:keepNext/>
              <w:rPr>
                <w:lang w:val="fr-FR"/>
              </w:rPr>
            </w:pPr>
          </w:p>
        </w:tc>
      </w:tr>
      <w:tr w:rsidR="00EE4038" w:rsidRPr="00941D7C" w14:paraId="6A5209B9" w14:textId="77777777" w:rsidTr="00EE4038">
        <w:trPr>
          <w:jc w:val="center"/>
        </w:trPr>
        <w:tc>
          <w:tcPr>
            <w:tcW w:w="4876" w:type="dxa"/>
            <w:hideMark/>
          </w:tcPr>
          <w:p w14:paraId="7262C5AB"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52463452" w14:textId="77777777" w:rsidR="00EE4038" w:rsidRPr="00941D7C" w:rsidRDefault="00EE4038">
            <w:pPr>
              <w:pStyle w:val="ColumnHeading"/>
              <w:keepNext/>
              <w:rPr>
                <w:lang w:val="en-GB"/>
              </w:rPr>
            </w:pPr>
            <w:r w:rsidRPr="00941D7C">
              <w:rPr>
                <w:lang w:val="en-GB"/>
              </w:rPr>
              <w:t>Amendment</w:t>
            </w:r>
          </w:p>
        </w:tc>
      </w:tr>
      <w:tr w:rsidR="00EE4038" w:rsidRPr="00941D7C" w14:paraId="31C8EF6C" w14:textId="77777777" w:rsidTr="00EE4038">
        <w:trPr>
          <w:jc w:val="center"/>
        </w:trPr>
        <w:tc>
          <w:tcPr>
            <w:tcW w:w="4876" w:type="dxa"/>
            <w:hideMark/>
          </w:tcPr>
          <w:p w14:paraId="684BF989" w14:textId="77777777" w:rsidR="00EE4038" w:rsidRPr="00941D7C" w:rsidRDefault="00EE4038">
            <w:pPr>
              <w:pStyle w:val="Normal6"/>
              <w:rPr>
                <w:lang w:val="en-GB"/>
              </w:rPr>
            </w:pPr>
            <w:r w:rsidRPr="00941D7C">
              <w:rPr>
                <w:lang w:val="en-GB"/>
              </w:rPr>
              <w:t>‘(ii)</w:t>
            </w:r>
            <w:r w:rsidRPr="00941D7C">
              <w:rPr>
                <w:lang w:val="en-GB"/>
              </w:rPr>
              <w:tab/>
              <w:t xml:space="preserve">to issuers as defined in Article 2(1), point (d) of Directive 2004/109/EC which </w:t>
            </w:r>
            <w:r w:rsidRPr="00941D7C">
              <w:rPr>
                <w:b/>
                <w:i/>
                <w:lang w:val="en-GB"/>
              </w:rPr>
              <w:t>are parent undertakings of a large group which</w:t>
            </w:r>
            <w:r w:rsidRPr="00941D7C">
              <w:rPr>
                <w:lang w:val="en-GB"/>
              </w:rPr>
              <w:t xml:space="preserve">, on its balance sheet dates, exceed the average number of </w:t>
            </w:r>
            <w:r w:rsidRPr="00941D7C">
              <w:rPr>
                <w:b/>
                <w:i/>
                <w:lang w:val="en-GB"/>
              </w:rPr>
              <w:t>1000</w:t>
            </w:r>
            <w:r w:rsidRPr="00941D7C">
              <w:rPr>
                <w:lang w:val="en-GB"/>
              </w:rPr>
              <w:t xml:space="preserve"> </w:t>
            </w:r>
            <w:proofErr w:type="gramStart"/>
            <w:r w:rsidRPr="00941D7C">
              <w:rPr>
                <w:lang w:val="en-GB"/>
              </w:rPr>
              <w:t>employees ,</w:t>
            </w:r>
            <w:proofErr w:type="gramEnd"/>
            <w:r w:rsidRPr="00941D7C">
              <w:rPr>
                <w:lang w:val="en-GB"/>
              </w:rPr>
              <w:t xml:space="preserve"> on a consolidated basis, during the financial year;’;</w:t>
            </w:r>
          </w:p>
        </w:tc>
        <w:tc>
          <w:tcPr>
            <w:tcW w:w="4876" w:type="dxa"/>
            <w:hideMark/>
          </w:tcPr>
          <w:p w14:paraId="45B0FC39" w14:textId="77777777" w:rsidR="00EE4038" w:rsidRPr="00941D7C" w:rsidRDefault="00EE4038">
            <w:pPr>
              <w:pStyle w:val="Normal6"/>
              <w:rPr>
                <w:szCs w:val="24"/>
                <w:lang w:val="en-GB"/>
              </w:rPr>
            </w:pPr>
            <w:r w:rsidRPr="00941D7C">
              <w:rPr>
                <w:lang w:val="en-GB"/>
              </w:rPr>
              <w:t>‘(ii)</w:t>
            </w:r>
            <w:r w:rsidRPr="00941D7C">
              <w:rPr>
                <w:lang w:val="en-GB"/>
              </w:rPr>
              <w:tab/>
              <w:t xml:space="preserve">to issuers as defined in Article 2(1), point (d) of Directive 2004/109/EC which, on its balance sheet dates, exceed the average number of </w:t>
            </w:r>
            <w:r w:rsidRPr="00941D7C">
              <w:rPr>
                <w:b/>
                <w:i/>
                <w:lang w:val="en-GB"/>
              </w:rPr>
              <w:t>3000</w:t>
            </w:r>
            <w:r w:rsidRPr="00941D7C">
              <w:rPr>
                <w:lang w:val="en-GB"/>
              </w:rPr>
              <w:t xml:space="preserve"> employees </w:t>
            </w:r>
            <w:r w:rsidRPr="00941D7C">
              <w:rPr>
                <w:b/>
                <w:i/>
                <w:lang w:val="en-GB"/>
              </w:rPr>
              <w:t>and a net turnover of EUR 450 000 000</w:t>
            </w:r>
            <w:r w:rsidRPr="00941D7C">
              <w:rPr>
                <w:lang w:val="en-GB"/>
              </w:rPr>
              <w:t>, on a consolidated basis, during the financial year;’;</w:t>
            </w:r>
          </w:p>
        </w:tc>
      </w:tr>
    </w:tbl>
    <w:p w14:paraId="0495DE7A"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04849271" w14:textId="77777777" w:rsidR="00EE4038" w:rsidRPr="00941D7C" w:rsidRDefault="00EE4038" w:rsidP="00EE4038">
      <w:r w:rsidRPr="00941D7C">
        <w:rPr>
          <w:rStyle w:val="HideTWBExt"/>
        </w:rPr>
        <w:t>&lt;/Amend&gt;</w:t>
      </w:r>
    </w:p>
    <w:p w14:paraId="6CF29B4A" w14:textId="34D8DCD5"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54</w:t>
      </w:r>
      <w:r w:rsidRPr="00941D7C">
        <w:rPr>
          <w:rStyle w:val="HideTWBExt"/>
          <w:lang w:val="en-GB"/>
        </w:rPr>
        <w:t>&lt;/NumAm&gt;</w:t>
      </w:r>
    </w:p>
    <w:p w14:paraId="323C6676"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52338B04"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1</w:t>
      </w:r>
      <w:r w:rsidRPr="008C7353">
        <w:rPr>
          <w:rStyle w:val="HideTWBExt"/>
          <w:lang w:val="fr-FR"/>
        </w:rPr>
        <w:t>&lt;/Article&gt;</w:t>
      </w:r>
    </w:p>
    <w:p w14:paraId="1E69039A" w14:textId="77777777" w:rsidR="00EE4038" w:rsidRPr="008C7353" w:rsidRDefault="00EE4038" w:rsidP="00EE4038">
      <w:pPr>
        <w:keepNext/>
        <w:rPr>
          <w:lang w:val="fr-FR"/>
        </w:rPr>
      </w:pPr>
      <w:r w:rsidRPr="008C7353">
        <w:rPr>
          <w:rStyle w:val="HideTWBExt"/>
          <w:lang w:val="fr-FR"/>
        </w:rPr>
        <w:t>&lt;DocAmend2&gt;</w:t>
      </w:r>
      <w:r w:rsidRPr="008C7353">
        <w:rPr>
          <w:lang w:val="fr-FR"/>
        </w:rPr>
        <w:t>Directive (EU) 2024/1760</w:t>
      </w:r>
      <w:r w:rsidRPr="008C7353">
        <w:rPr>
          <w:rStyle w:val="HideTWBExt"/>
          <w:lang w:val="fr-FR"/>
        </w:rPr>
        <w:t>&lt;/DocAmend2&gt;</w:t>
      </w:r>
    </w:p>
    <w:p w14:paraId="3DBBFB0B" w14:textId="77777777" w:rsidR="00EE4038" w:rsidRPr="00941D7C" w:rsidRDefault="00EE4038" w:rsidP="00EE4038">
      <w:r w:rsidRPr="00941D7C">
        <w:rPr>
          <w:rStyle w:val="HideTWBExt"/>
        </w:rPr>
        <w:t>&lt;Article2&gt;</w:t>
      </w:r>
      <w:r w:rsidRPr="00941D7C">
        <w:t>Article 1 – paragraph 1 – point c</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1D31EDE8" w14:textId="77777777" w:rsidTr="00EE4038">
        <w:trPr>
          <w:jc w:val="center"/>
        </w:trPr>
        <w:tc>
          <w:tcPr>
            <w:tcW w:w="9752" w:type="dxa"/>
            <w:gridSpan w:val="2"/>
          </w:tcPr>
          <w:p w14:paraId="6F9AB580" w14:textId="77777777" w:rsidR="00EE4038" w:rsidRPr="00941D7C" w:rsidRDefault="00EE4038">
            <w:pPr>
              <w:keepNext/>
            </w:pPr>
          </w:p>
        </w:tc>
      </w:tr>
      <w:tr w:rsidR="00EE4038" w:rsidRPr="00941D7C" w14:paraId="0BE66F25" w14:textId="77777777" w:rsidTr="00EE4038">
        <w:trPr>
          <w:jc w:val="center"/>
        </w:trPr>
        <w:tc>
          <w:tcPr>
            <w:tcW w:w="4876" w:type="dxa"/>
            <w:hideMark/>
          </w:tcPr>
          <w:p w14:paraId="1F80A13E"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24B697B3" w14:textId="77777777" w:rsidR="00EE4038" w:rsidRPr="00941D7C" w:rsidRDefault="00EE4038">
            <w:pPr>
              <w:pStyle w:val="ColumnHeading"/>
              <w:keepNext/>
              <w:rPr>
                <w:lang w:val="en-GB"/>
              </w:rPr>
            </w:pPr>
            <w:r w:rsidRPr="00941D7C">
              <w:rPr>
                <w:lang w:val="en-GB"/>
              </w:rPr>
              <w:t>Amendment</w:t>
            </w:r>
          </w:p>
        </w:tc>
      </w:tr>
      <w:tr w:rsidR="00EE4038" w:rsidRPr="00941D7C" w14:paraId="4F6DF006" w14:textId="77777777" w:rsidTr="00EE4038">
        <w:trPr>
          <w:jc w:val="center"/>
        </w:trPr>
        <w:tc>
          <w:tcPr>
            <w:tcW w:w="4876" w:type="dxa"/>
            <w:hideMark/>
          </w:tcPr>
          <w:p w14:paraId="22428C00" w14:textId="77777777" w:rsidR="00EE4038" w:rsidRPr="00941D7C" w:rsidRDefault="00EE4038">
            <w:pPr>
              <w:pStyle w:val="Normal6"/>
              <w:rPr>
                <w:lang w:val="en-GB"/>
              </w:rPr>
            </w:pPr>
            <w:r w:rsidRPr="00941D7C">
              <w:rPr>
                <w:lang w:val="en-GB"/>
              </w:rPr>
              <w:t>(1)</w:t>
            </w:r>
            <w:r w:rsidRPr="00941D7C">
              <w:rPr>
                <w:lang w:val="en-GB"/>
              </w:rPr>
              <w:tab/>
              <w:t xml:space="preserve">in Article 1(1), point (c) is </w:t>
            </w:r>
            <w:r w:rsidRPr="00941D7C">
              <w:rPr>
                <w:b/>
                <w:i/>
                <w:lang w:val="en-GB"/>
              </w:rPr>
              <w:t>replaced by the following:</w:t>
            </w:r>
          </w:p>
        </w:tc>
        <w:tc>
          <w:tcPr>
            <w:tcW w:w="4876" w:type="dxa"/>
            <w:hideMark/>
          </w:tcPr>
          <w:p w14:paraId="6E01A042" w14:textId="77777777" w:rsidR="00EE4038" w:rsidRPr="00941D7C" w:rsidRDefault="00EE4038">
            <w:pPr>
              <w:pStyle w:val="Normal6"/>
              <w:rPr>
                <w:szCs w:val="24"/>
                <w:lang w:val="en-GB"/>
              </w:rPr>
            </w:pPr>
            <w:r w:rsidRPr="00941D7C">
              <w:rPr>
                <w:lang w:val="en-GB"/>
              </w:rPr>
              <w:t>(1)</w:t>
            </w:r>
            <w:r w:rsidRPr="00941D7C">
              <w:rPr>
                <w:lang w:val="en-GB"/>
              </w:rPr>
              <w:tab/>
              <w:t xml:space="preserve">in Article 1(1), point (c) is </w:t>
            </w:r>
            <w:r w:rsidRPr="00941D7C">
              <w:rPr>
                <w:b/>
                <w:i/>
                <w:lang w:val="en-GB"/>
              </w:rPr>
              <w:t>deleted.</w:t>
            </w:r>
          </w:p>
        </w:tc>
      </w:tr>
      <w:tr w:rsidR="00EE4038" w:rsidRPr="00941D7C" w14:paraId="55DDCDBC" w14:textId="77777777" w:rsidTr="00EE4038">
        <w:trPr>
          <w:jc w:val="center"/>
        </w:trPr>
        <w:tc>
          <w:tcPr>
            <w:tcW w:w="4876" w:type="dxa"/>
            <w:hideMark/>
          </w:tcPr>
          <w:p w14:paraId="479DED52" w14:textId="77777777" w:rsidR="00EE4038" w:rsidRPr="00941D7C" w:rsidRDefault="00EE4038">
            <w:pPr>
              <w:pStyle w:val="Normal6"/>
              <w:rPr>
                <w:lang w:val="en-GB"/>
              </w:rPr>
            </w:pPr>
            <w:r w:rsidRPr="00941D7C">
              <w:rPr>
                <w:b/>
                <w:i/>
                <w:lang w:val="en-GB"/>
              </w:rPr>
              <w:t>(c)</w:t>
            </w:r>
            <w:r w:rsidRPr="00941D7C">
              <w:rPr>
                <w:b/>
                <w:i/>
                <w:lang w:val="en-GB"/>
              </w:rPr>
              <w:tab/>
              <w:t>the obligation for companies to adopt a transition plan for climate change mitigation, including implementing actions which aim to ensure, through best efforts, compatibility of the business model and of the strategy of the company with the transition to a sustainable economy and with the limiting of global warming to 1,5</w:t>
            </w:r>
            <w:r w:rsidRPr="00941D7C">
              <w:rPr>
                <w:lang w:val="en-GB"/>
              </w:rPr>
              <w:t xml:space="preserve"> </w:t>
            </w:r>
            <w:proofErr w:type="spellStart"/>
            <w:r w:rsidRPr="00941D7C">
              <w:rPr>
                <w:b/>
                <w:i/>
                <w:vertAlign w:val="superscript"/>
                <w:lang w:val="en-GB"/>
              </w:rPr>
              <w:t>o</w:t>
            </w:r>
            <w:r w:rsidRPr="00941D7C">
              <w:rPr>
                <w:b/>
                <w:i/>
                <w:lang w:val="en-GB"/>
              </w:rPr>
              <w:t>C</w:t>
            </w:r>
            <w:proofErr w:type="spellEnd"/>
            <w:r w:rsidRPr="00941D7C">
              <w:rPr>
                <w:b/>
                <w:i/>
                <w:lang w:val="en-GB"/>
              </w:rPr>
              <w:t xml:space="preserve"> in line with the Paris Agreement.;</w:t>
            </w:r>
          </w:p>
        </w:tc>
        <w:tc>
          <w:tcPr>
            <w:tcW w:w="4876" w:type="dxa"/>
          </w:tcPr>
          <w:p w14:paraId="10A64626" w14:textId="77777777" w:rsidR="00EE4038" w:rsidRPr="00941D7C" w:rsidRDefault="00EE4038">
            <w:pPr>
              <w:pStyle w:val="Normal6"/>
              <w:rPr>
                <w:lang w:val="en-GB"/>
              </w:rPr>
            </w:pPr>
          </w:p>
        </w:tc>
      </w:tr>
    </w:tbl>
    <w:p w14:paraId="392A8C66"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3058FC7F" w14:textId="77777777" w:rsidR="00EE4038" w:rsidRPr="00941D7C" w:rsidRDefault="00EE4038" w:rsidP="00EE4038">
      <w:r w:rsidRPr="00941D7C">
        <w:rPr>
          <w:rStyle w:val="HideTWBExt"/>
        </w:rPr>
        <w:t>&lt;/Amend&gt;</w:t>
      </w:r>
    </w:p>
    <w:p w14:paraId="60DB6D00" w14:textId="7E9C981D"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55</w:t>
      </w:r>
      <w:r w:rsidRPr="00941D7C">
        <w:rPr>
          <w:rStyle w:val="HideTWBExt"/>
          <w:lang w:val="en-GB"/>
        </w:rPr>
        <w:t>&lt;/NumAm&gt;</w:t>
      </w:r>
    </w:p>
    <w:p w14:paraId="5CF1832C"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38421796"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1 a (new)</w:t>
      </w:r>
      <w:r w:rsidR="00E84907" w:rsidRPr="008C7353">
        <w:rPr>
          <w:lang w:val="fr-FR"/>
        </w:rPr>
        <w:t xml:space="preserve"> – point a</w:t>
      </w:r>
      <w:r w:rsidRPr="008C7353">
        <w:rPr>
          <w:rStyle w:val="HideTWBExt"/>
          <w:lang w:val="fr-FR"/>
        </w:rPr>
        <w:t>&lt;/Article&gt;</w:t>
      </w:r>
    </w:p>
    <w:p w14:paraId="5A8F9ED8" w14:textId="77777777" w:rsidR="00EE4038" w:rsidRPr="008C7353" w:rsidRDefault="00EE4038" w:rsidP="00EE4038">
      <w:pPr>
        <w:keepNext/>
        <w:rPr>
          <w:lang w:val="fr-FR"/>
        </w:rPr>
      </w:pPr>
      <w:r w:rsidRPr="008C7353">
        <w:rPr>
          <w:rStyle w:val="HideTWBExt"/>
          <w:lang w:val="fr-FR"/>
        </w:rPr>
        <w:t>&lt;DocAmend2&gt;</w:t>
      </w:r>
      <w:r w:rsidRPr="008C7353">
        <w:rPr>
          <w:lang w:val="fr-FR"/>
        </w:rPr>
        <w:t>Directive (EU) 2024/1760</w:t>
      </w:r>
      <w:r w:rsidRPr="008C7353">
        <w:rPr>
          <w:rStyle w:val="HideTWBExt"/>
          <w:lang w:val="fr-FR"/>
        </w:rPr>
        <w:t>&lt;/DocAmend2&gt;</w:t>
      </w:r>
    </w:p>
    <w:p w14:paraId="52CDBE00" w14:textId="58848E57" w:rsidR="00EE4038" w:rsidRPr="00941D7C" w:rsidRDefault="00EE4038" w:rsidP="00EE4038">
      <w:r w:rsidRPr="00941D7C">
        <w:rPr>
          <w:rStyle w:val="HideTWBExt"/>
        </w:rPr>
        <w:t>&lt;Article2&gt;</w:t>
      </w:r>
      <w:r w:rsidRPr="00941D7C">
        <w:t>Article 2 – paragraph 1 – point a</w:t>
      </w:r>
      <w:r w:rsidRPr="00941D7C">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057023A8" w14:textId="77777777" w:rsidTr="007C3CBA">
        <w:trPr>
          <w:jc w:val="center"/>
        </w:trPr>
        <w:tc>
          <w:tcPr>
            <w:tcW w:w="9752" w:type="dxa"/>
            <w:gridSpan w:val="2"/>
          </w:tcPr>
          <w:p w14:paraId="39FEF7AB" w14:textId="77777777" w:rsidR="00EE4038" w:rsidRPr="00941D7C" w:rsidRDefault="00EE4038">
            <w:pPr>
              <w:keepNext/>
            </w:pPr>
          </w:p>
        </w:tc>
      </w:tr>
      <w:tr w:rsidR="00EE4038" w:rsidRPr="00941D7C" w14:paraId="4FA41591" w14:textId="77777777" w:rsidTr="007C3CBA">
        <w:trPr>
          <w:jc w:val="center"/>
        </w:trPr>
        <w:tc>
          <w:tcPr>
            <w:tcW w:w="4876" w:type="dxa"/>
            <w:hideMark/>
          </w:tcPr>
          <w:p w14:paraId="3A1490EA" w14:textId="77777777" w:rsidR="00EE4038" w:rsidRPr="00941D7C" w:rsidRDefault="00EE4038">
            <w:pPr>
              <w:pStyle w:val="ColumnHeading"/>
              <w:keepNext/>
              <w:rPr>
                <w:lang w:val="en-GB"/>
              </w:rPr>
            </w:pPr>
            <w:r w:rsidRPr="00941D7C">
              <w:rPr>
                <w:lang w:val="en-GB"/>
              </w:rPr>
              <w:t>Present text</w:t>
            </w:r>
          </w:p>
        </w:tc>
        <w:tc>
          <w:tcPr>
            <w:tcW w:w="4876" w:type="dxa"/>
            <w:hideMark/>
          </w:tcPr>
          <w:p w14:paraId="42083347" w14:textId="77777777" w:rsidR="00EE4038" w:rsidRPr="00941D7C" w:rsidRDefault="00EE4038">
            <w:pPr>
              <w:pStyle w:val="ColumnHeading"/>
              <w:keepNext/>
              <w:rPr>
                <w:lang w:val="en-GB"/>
              </w:rPr>
            </w:pPr>
            <w:r w:rsidRPr="00941D7C">
              <w:rPr>
                <w:lang w:val="en-GB"/>
              </w:rPr>
              <w:t>Amendment</w:t>
            </w:r>
          </w:p>
        </w:tc>
      </w:tr>
      <w:tr w:rsidR="00EE4038" w:rsidRPr="00941D7C" w14:paraId="5AE4B097" w14:textId="77777777" w:rsidTr="007C3CBA">
        <w:trPr>
          <w:jc w:val="center"/>
        </w:trPr>
        <w:tc>
          <w:tcPr>
            <w:tcW w:w="4876" w:type="dxa"/>
          </w:tcPr>
          <w:p w14:paraId="64DC2F4B" w14:textId="77777777" w:rsidR="00EE4038" w:rsidRPr="00941D7C" w:rsidRDefault="00EE4038">
            <w:pPr>
              <w:pStyle w:val="Normal6"/>
              <w:rPr>
                <w:lang w:val="en-GB"/>
              </w:rPr>
            </w:pPr>
          </w:p>
        </w:tc>
        <w:tc>
          <w:tcPr>
            <w:tcW w:w="4876" w:type="dxa"/>
            <w:hideMark/>
          </w:tcPr>
          <w:p w14:paraId="6E0F455B" w14:textId="7055788B" w:rsidR="00EE4038" w:rsidRPr="00941D7C" w:rsidRDefault="00EE4038">
            <w:pPr>
              <w:pStyle w:val="Normal6"/>
              <w:rPr>
                <w:szCs w:val="24"/>
                <w:lang w:val="en-GB"/>
              </w:rPr>
            </w:pPr>
            <w:r w:rsidRPr="00941D7C">
              <w:rPr>
                <w:b/>
                <w:i/>
                <w:lang w:val="en-GB"/>
              </w:rPr>
              <w:t>(1a)</w:t>
            </w:r>
            <w:r w:rsidRPr="00941D7C">
              <w:rPr>
                <w:b/>
                <w:i/>
                <w:lang w:val="en-GB"/>
              </w:rPr>
              <w:tab/>
              <w:t>Article 2 is amended as follows:</w:t>
            </w:r>
          </w:p>
        </w:tc>
      </w:tr>
      <w:tr w:rsidR="00EE4038" w:rsidRPr="00941D7C" w14:paraId="3BA392C1" w14:textId="77777777" w:rsidTr="007C3CBA">
        <w:trPr>
          <w:jc w:val="center"/>
        </w:trPr>
        <w:tc>
          <w:tcPr>
            <w:tcW w:w="4876" w:type="dxa"/>
          </w:tcPr>
          <w:p w14:paraId="12576680" w14:textId="77777777" w:rsidR="00EE4038" w:rsidRPr="00941D7C" w:rsidRDefault="00EE4038">
            <w:pPr>
              <w:pStyle w:val="Normal6"/>
              <w:rPr>
                <w:lang w:val="en-GB"/>
              </w:rPr>
            </w:pPr>
          </w:p>
        </w:tc>
        <w:tc>
          <w:tcPr>
            <w:tcW w:w="4876" w:type="dxa"/>
            <w:hideMark/>
          </w:tcPr>
          <w:p w14:paraId="3E040794" w14:textId="77777777" w:rsidR="00EE4038" w:rsidRPr="00941D7C" w:rsidRDefault="00EE4038">
            <w:pPr>
              <w:pStyle w:val="Normal6"/>
              <w:rPr>
                <w:szCs w:val="24"/>
                <w:lang w:val="en-GB"/>
              </w:rPr>
            </w:pPr>
            <w:r w:rsidRPr="00941D7C">
              <w:rPr>
                <w:b/>
                <w:i/>
                <w:lang w:val="en-GB"/>
              </w:rPr>
              <w:t>(a)</w:t>
            </w:r>
            <w:r w:rsidRPr="00941D7C">
              <w:rPr>
                <w:lang w:val="en-GB"/>
              </w:rPr>
              <w:tab/>
            </w:r>
            <w:r w:rsidRPr="00941D7C">
              <w:rPr>
                <w:b/>
                <w:i/>
                <w:lang w:val="en-GB"/>
              </w:rPr>
              <w:t>in paragraph 1, point (a) is replaced by the following:</w:t>
            </w:r>
          </w:p>
        </w:tc>
      </w:tr>
      <w:tr w:rsidR="00EE4038" w:rsidRPr="00941D7C" w14:paraId="6B41D108" w14:textId="77777777" w:rsidTr="007C3CBA">
        <w:trPr>
          <w:jc w:val="center"/>
        </w:trPr>
        <w:tc>
          <w:tcPr>
            <w:tcW w:w="4876" w:type="dxa"/>
            <w:hideMark/>
          </w:tcPr>
          <w:p w14:paraId="0D41D5BA" w14:textId="77777777" w:rsidR="00EE4038" w:rsidRPr="00941D7C" w:rsidRDefault="00EE4038">
            <w:pPr>
              <w:pStyle w:val="Normal6"/>
              <w:rPr>
                <w:lang w:val="en-GB"/>
              </w:rPr>
            </w:pPr>
            <w:r w:rsidRPr="00941D7C">
              <w:rPr>
                <w:lang w:val="en-GB"/>
              </w:rPr>
              <w:t>(a)</w:t>
            </w:r>
            <w:r w:rsidRPr="00941D7C">
              <w:rPr>
                <w:lang w:val="en-GB"/>
              </w:rPr>
              <w:tab/>
              <w:t xml:space="preserve">the company had more than 1 000 employees on average and had a net </w:t>
            </w:r>
            <w:r w:rsidRPr="00941D7C">
              <w:rPr>
                <w:b/>
                <w:i/>
                <w:lang w:val="en-GB"/>
              </w:rPr>
              <w:t>worldwide</w:t>
            </w:r>
            <w:r w:rsidRPr="00941D7C">
              <w:rPr>
                <w:lang w:val="en-GB"/>
              </w:rPr>
              <w:t xml:space="preserve"> turnover of more than EUR 450 000 000 in the last financial year for which annual financial statements have been or should have been </w:t>
            </w:r>
            <w:proofErr w:type="gramStart"/>
            <w:r w:rsidRPr="00941D7C">
              <w:rPr>
                <w:lang w:val="en-GB"/>
              </w:rPr>
              <w:t>adopted;</w:t>
            </w:r>
            <w:proofErr w:type="gramEnd"/>
          </w:p>
        </w:tc>
        <w:tc>
          <w:tcPr>
            <w:tcW w:w="4876" w:type="dxa"/>
            <w:hideMark/>
          </w:tcPr>
          <w:p w14:paraId="31B0EB5B" w14:textId="77777777" w:rsidR="00EE4038" w:rsidRPr="00941D7C" w:rsidRDefault="00EE4038">
            <w:pPr>
              <w:pStyle w:val="Normal6"/>
              <w:rPr>
                <w:szCs w:val="24"/>
                <w:lang w:val="en-GB"/>
              </w:rPr>
            </w:pPr>
            <w:r w:rsidRPr="00941D7C">
              <w:rPr>
                <w:b/>
                <w:i/>
                <w:lang w:val="en-GB"/>
              </w:rPr>
              <w:t>‘</w:t>
            </w:r>
            <w:r w:rsidRPr="00941D7C">
              <w:rPr>
                <w:lang w:val="en-GB"/>
              </w:rPr>
              <w:t>(a)</w:t>
            </w:r>
            <w:r w:rsidRPr="00941D7C">
              <w:rPr>
                <w:lang w:val="en-GB"/>
              </w:rPr>
              <w:tab/>
              <w:t xml:space="preserve">the company had more than </w:t>
            </w:r>
            <w:r w:rsidRPr="00941D7C">
              <w:rPr>
                <w:b/>
                <w:bCs/>
                <w:i/>
                <w:iCs/>
                <w:lang w:val="en-GB"/>
              </w:rPr>
              <w:t>3 000</w:t>
            </w:r>
            <w:r w:rsidRPr="00941D7C">
              <w:rPr>
                <w:lang w:val="en-GB"/>
              </w:rPr>
              <w:t xml:space="preserve"> employees on average and had a net</w:t>
            </w:r>
            <w:r w:rsidRPr="00941D7C">
              <w:rPr>
                <w:b/>
                <w:i/>
                <w:lang w:val="en-GB"/>
              </w:rPr>
              <w:t xml:space="preserve"> </w:t>
            </w:r>
            <w:r w:rsidRPr="00941D7C">
              <w:rPr>
                <w:lang w:val="en-GB"/>
              </w:rPr>
              <w:t xml:space="preserve">turnover of more than EUR 450 000 000 in the last financial year for which annual financial statements have been or should have been </w:t>
            </w:r>
            <w:proofErr w:type="gramStart"/>
            <w:r w:rsidRPr="00941D7C">
              <w:rPr>
                <w:lang w:val="en-GB"/>
              </w:rPr>
              <w:t>adopted;</w:t>
            </w:r>
            <w:proofErr w:type="gramEnd"/>
            <w:r w:rsidRPr="00941D7C">
              <w:rPr>
                <w:b/>
                <w:i/>
                <w:lang w:val="en-GB"/>
              </w:rPr>
              <w:t>’</w:t>
            </w:r>
          </w:p>
        </w:tc>
      </w:tr>
    </w:tbl>
    <w:p w14:paraId="06B88255"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6F6CB78A" w14:textId="77777777" w:rsidR="00EE4038" w:rsidRPr="00941D7C" w:rsidRDefault="00EE4038" w:rsidP="00EE4038">
      <w:r w:rsidRPr="00941D7C">
        <w:rPr>
          <w:rStyle w:val="HideTWBExt"/>
        </w:rPr>
        <w:t>&lt;/Amend&gt;</w:t>
      </w:r>
    </w:p>
    <w:p w14:paraId="38CA1FF8" w14:textId="71293638" w:rsidR="004D7AB7" w:rsidRPr="00941D7C" w:rsidRDefault="004D7AB7" w:rsidP="004D7AB7">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56</w:t>
      </w:r>
      <w:r w:rsidRPr="00941D7C">
        <w:rPr>
          <w:rStyle w:val="HideTWBExt"/>
          <w:lang w:val="en-GB"/>
        </w:rPr>
        <w:t>&lt;/NumAm&gt;</w:t>
      </w:r>
    </w:p>
    <w:p w14:paraId="3D394A3B" w14:textId="77777777" w:rsidR="004D7AB7" w:rsidRPr="00941D7C" w:rsidRDefault="004D7AB7" w:rsidP="004D7AB7">
      <w:pPr>
        <w:pStyle w:val="NormalBold12b"/>
        <w:keepNext/>
      </w:pPr>
      <w:r w:rsidRPr="00941D7C">
        <w:rPr>
          <w:rStyle w:val="HideTWBExt"/>
        </w:rPr>
        <w:t>&lt;DocAmend&gt;</w:t>
      </w:r>
      <w:r w:rsidRPr="00941D7C">
        <w:t>Proposal for a directive</w:t>
      </w:r>
      <w:r w:rsidRPr="00941D7C">
        <w:rPr>
          <w:rStyle w:val="HideTWBExt"/>
        </w:rPr>
        <w:t>&lt;/DocAmend&gt;</w:t>
      </w:r>
    </w:p>
    <w:p w14:paraId="59E18ACE" w14:textId="77777777" w:rsidR="004D7AB7" w:rsidRPr="008C7353" w:rsidRDefault="004D7AB7" w:rsidP="004D7AB7">
      <w:pPr>
        <w:pStyle w:val="NormalBold"/>
        <w:rPr>
          <w:lang w:val="fr-FR"/>
        </w:rPr>
      </w:pPr>
      <w:r w:rsidRPr="008C7353">
        <w:rPr>
          <w:rStyle w:val="HideTWBExt"/>
          <w:lang w:val="fr-FR"/>
        </w:rPr>
        <w:t>&lt;Article&gt;</w:t>
      </w:r>
      <w:r w:rsidRPr="008C7353">
        <w:rPr>
          <w:lang w:val="fr-FR"/>
        </w:rPr>
        <w:t>Article 4 – paragraph 1 – point 1 a (new)</w:t>
      </w:r>
      <w:r w:rsidR="00E84907" w:rsidRPr="008C7353">
        <w:rPr>
          <w:lang w:val="fr-FR"/>
        </w:rPr>
        <w:t xml:space="preserve"> – point b</w:t>
      </w:r>
      <w:r w:rsidRPr="008C7353">
        <w:rPr>
          <w:rStyle w:val="HideTWBExt"/>
          <w:lang w:val="fr-FR"/>
        </w:rPr>
        <w:t>&lt;/Article&gt;</w:t>
      </w:r>
    </w:p>
    <w:p w14:paraId="3C96E4B7" w14:textId="77777777" w:rsidR="004D7AB7" w:rsidRPr="008C7353" w:rsidRDefault="004D7AB7" w:rsidP="004D7AB7">
      <w:pPr>
        <w:keepNext/>
        <w:rPr>
          <w:lang w:val="fr-FR"/>
        </w:rPr>
      </w:pPr>
      <w:r w:rsidRPr="008C7353">
        <w:rPr>
          <w:rStyle w:val="HideTWBExt"/>
          <w:lang w:val="fr-FR"/>
        </w:rPr>
        <w:t>&lt;DocAmend2&gt;</w:t>
      </w:r>
      <w:r w:rsidRPr="008C7353">
        <w:rPr>
          <w:lang w:val="fr-FR"/>
        </w:rPr>
        <w:t>Directive (EU) 2024/1760</w:t>
      </w:r>
      <w:r w:rsidRPr="008C7353">
        <w:rPr>
          <w:rStyle w:val="HideTWBExt"/>
          <w:lang w:val="fr-FR"/>
        </w:rPr>
        <w:t>&lt;/DocAmend2&gt;</w:t>
      </w:r>
    </w:p>
    <w:p w14:paraId="03D11F32" w14:textId="77777777" w:rsidR="004D7AB7" w:rsidRPr="00941D7C" w:rsidRDefault="004D7AB7" w:rsidP="004D7AB7">
      <w:r w:rsidRPr="00941D7C">
        <w:rPr>
          <w:rStyle w:val="HideTWBExt"/>
        </w:rPr>
        <w:t>&lt;Article2&gt;</w:t>
      </w:r>
      <w:r w:rsidRPr="00941D7C">
        <w:t>Article 2 – parag</w:t>
      </w:r>
      <w:r w:rsidR="00E84907" w:rsidRPr="00941D7C">
        <w:t>raph 3 –</w:t>
      </w:r>
      <w:r w:rsidRPr="00941D7C">
        <w:t xml:space="preserve"> subparagraph 1</w:t>
      </w:r>
      <w:r w:rsidRPr="00941D7C">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D7AB7" w:rsidRPr="00941D7C" w14:paraId="727FA426" w14:textId="77777777" w:rsidTr="007C3CBA">
        <w:trPr>
          <w:jc w:val="center"/>
        </w:trPr>
        <w:tc>
          <w:tcPr>
            <w:tcW w:w="9752" w:type="dxa"/>
            <w:gridSpan w:val="2"/>
          </w:tcPr>
          <w:p w14:paraId="08A6650F" w14:textId="77777777" w:rsidR="004D7AB7" w:rsidRPr="00941D7C" w:rsidRDefault="004D7AB7" w:rsidP="005D3964">
            <w:pPr>
              <w:keepNext/>
            </w:pPr>
          </w:p>
        </w:tc>
      </w:tr>
      <w:tr w:rsidR="004D7AB7" w:rsidRPr="00941D7C" w14:paraId="0CFB67B6" w14:textId="77777777" w:rsidTr="007C3CBA">
        <w:trPr>
          <w:jc w:val="center"/>
        </w:trPr>
        <w:tc>
          <w:tcPr>
            <w:tcW w:w="4876" w:type="dxa"/>
            <w:hideMark/>
          </w:tcPr>
          <w:p w14:paraId="25C92C62" w14:textId="77777777" w:rsidR="004D7AB7" w:rsidRPr="00941D7C" w:rsidRDefault="004D7AB7" w:rsidP="005D3964">
            <w:pPr>
              <w:pStyle w:val="ColumnHeading"/>
              <w:keepNext/>
              <w:rPr>
                <w:lang w:val="en-GB"/>
              </w:rPr>
            </w:pPr>
            <w:r w:rsidRPr="00941D7C">
              <w:rPr>
                <w:lang w:val="en-GB"/>
              </w:rPr>
              <w:t>Present text</w:t>
            </w:r>
          </w:p>
        </w:tc>
        <w:tc>
          <w:tcPr>
            <w:tcW w:w="4876" w:type="dxa"/>
            <w:hideMark/>
          </w:tcPr>
          <w:p w14:paraId="31B878B4" w14:textId="77777777" w:rsidR="004D7AB7" w:rsidRPr="00941D7C" w:rsidRDefault="004D7AB7" w:rsidP="005D3964">
            <w:pPr>
              <w:pStyle w:val="ColumnHeading"/>
              <w:keepNext/>
              <w:rPr>
                <w:lang w:val="en-GB"/>
              </w:rPr>
            </w:pPr>
            <w:r w:rsidRPr="00941D7C">
              <w:rPr>
                <w:lang w:val="en-GB"/>
              </w:rPr>
              <w:t>Amendment</w:t>
            </w:r>
          </w:p>
        </w:tc>
      </w:tr>
      <w:tr w:rsidR="004D7AB7" w:rsidRPr="00941D7C" w14:paraId="0D7AB23A" w14:textId="77777777" w:rsidTr="007C3CBA">
        <w:trPr>
          <w:jc w:val="center"/>
        </w:trPr>
        <w:tc>
          <w:tcPr>
            <w:tcW w:w="4876" w:type="dxa"/>
          </w:tcPr>
          <w:p w14:paraId="23C66E30" w14:textId="77777777" w:rsidR="004D7AB7" w:rsidRPr="00941D7C" w:rsidRDefault="004D7AB7" w:rsidP="005D3964">
            <w:pPr>
              <w:pStyle w:val="Normal6"/>
              <w:rPr>
                <w:lang w:val="en-GB"/>
              </w:rPr>
            </w:pPr>
          </w:p>
        </w:tc>
        <w:tc>
          <w:tcPr>
            <w:tcW w:w="4876" w:type="dxa"/>
            <w:hideMark/>
          </w:tcPr>
          <w:p w14:paraId="0E7DDC57" w14:textId="77777777" w:rsidR="004D7AB7" w:rsidRPr="00941D7C" w:rsidRDefault="004D7AB7" w:rsidP="005D3964">
            <w:pPr>
              <w:pStyle w:val="Normal6"/>
              <w:rPr>
                <w:szCs w:val="24"/>
                <w:lang w:val="en-GB"/>
              </w:rPr>
            </w:pPr>
            <w:r w:rsidRPr="00941D7C">
              <w:rPr>
                <w:b/>
                <w:i/>
                <w:lang w:val="en-GB"/>
              </w:rPr>
              <w:t>(b)</w:t>
            </w:r>
            <w:r w:rsidRPr="00941D7C">
              <w:rPr>
                <w:lang w:val="en-GB"/>
              </w:rPr>
              <w:tab/>
            </w:r>
            <w:r w:rsidRPr="00941D7C">
              <w:rPr>
                <w:b/>
                <w:i/>
                <w:lang w:val="en-GB"/>
              </w:rPr>
              <w:t>in paragraph 3, the first subparagraph is replaced by the following:</w:t>
            </w:r>
          </w:p>
        </w:tc>
      </w:tr>
      <w:tr w:rsidR="004D7AB7" w:rsidRPr="00941D7C" w14:paraId="585829BF" w14:textId="77777777" w:rsidTr="007C3CBA">
        <w:trPr>
          <w:jc w:val="center"/>
        </w:trPr>
        <w:tc>
          <w:tcPr>
            <w:tcW w:w="4876" w:type="dxa"/>
            <w:hideMark/>
          </w:tcPr>
          <w:p w14:paraId="37140C86" w14:textId="77777777" w:rsidR="004D7AB7" w:rsidRPr="00941D7C" w:rsidRDefault="004D7AB7" w:rsidP="005D3964">
            <w:pPr>
              <w:pStyle w:val="Normal6"/>
              <w:rPr>
                <w:lang w:val="en-GB"/>
              </w:rPr>
            </w:pPr>
            <w:r w:rsidRPr="00941D7C">
              <w:rPr>
                <w:lang w:val="en-GB"/>
              </w:rPr>
              <w:t>3.</w:t>
            </w:r>
            <w:r w:rsidRPr="00941D7C">
              <w:rPr>
                <w:lang w:val="en-GB"/>
              </w:rPr>
              <w:tab/>
              <w:t xml:space="preserve">Where the ultimate parent company has as its main activity the holding of shares in operational subsidiaries and does not engage in taking management, operational or financial decisions affecting the group or one or more of its subsidiaries, it may be exempted from carrying out the obligations under this Directive. That exemption is subject to the condition that one of the ultimate parent company’s subsidiaries established in the Union is designated to fulfil the obligations set out in Articles 6 to 16 </w:t>
            </w:r>
            <w:r w:rsidRPr="00941D7C">
              <w:rPr>
                <w:b/>
                <w:i/>
                <w:lang w:val="en-GB"/>
              </w:rPr>
              <w:t>and Article 22</w:t>
            </w:r>
            <w:r w:rsidRPr="00941D7C">
              <w:rPr>
                <w:lang w:val="en-GB"/>
              </w:rPr>
              <w:t xml:space="preserve"> on behalf of the ultimate parent company, including the obligations of the ultimate parent company with respect to the activities of its subsidiaries. In such a case, the designated subsidiary is given all the necessary means and legal authority to fulfil those obligations in an effective manner, </w:t>
            </w:r>
            <w:proofErr w:type="gramStart"/>
            <w:r w:rsidRPr="00941D7C">
              <w:rPr>
                <w:lang w:val="en-GB"/>
              </w:rPr>
              <w:t>in particular to</w:t>
            </w:r>
            <w:proofErr w:type="gramEnd"/>
            <w:r w:rsidRPr="00941D7C">
              <w:rPr>
                <w:lang w:val="en-GB"/>
              </w:rPr>
              <w:t xml:space="preserve"> ensure that the designated subsidiary obtains from the companies of the group the relevant information and documents to fulfil the obligations of the ultimate parent company under this Directive.</w:t>
            </w:r>
          </w:p>
        </w:tc>
        <w:tc>
          <w:tcPr>
            <w:tcW w:w="4876" w:type="dxa"/>
            <w:hideMark/>
          </w:tcPr>
          <w:p w14:paraId="17314607" w14:textId="77777777" w:rsidR="004D7AB7" w:rsidRPr="00941D7C" w:rsidRDefault="004D7AB7" w:rsidP="005D3964">
            <w:pPr>
              <w:pStyle w:val="Normal6"/>
              <w:rPr>
                <w:b/>
                <w:i/>
                <w:lang w:val="en-GB"/>
              </w:rPr>
            </w:pPr>
            <w:r w:rsidRPr="00941D7C">
              <w:rPr>
                <w:b/>
                <w:i/>
                <w:lang w:val="en-GB"/>
              </w:rPr>
              <w:t>‘</w:t>
            </w:r>
            <w:r w:rsidRPr="00941D7C">
              <w:rPr>
                <w:lang w:val="en-GB"/>
              </w:rPr>
              <w:t>3.</w:t>
            </w:r>
            <w:r w:rsidRPr="00941D7C">
              <w:rPr>
                <w:lang w:val="en-GB"/>
              </w:rPr>
              <w:tab/>
              <w:t xml:space="preserve">Where the ultimate parent company has as its main activity the holding of shares in operational subsidiaries and does not engage in taking management, operational or financial decisions affecting the group or one or more of its subsidiaries, it may be exempted from carrying out the obligations under this Directive. That exemption is subject to the condition that one of the ultimate parent company’s subsidiaries established in the Union is designated to fulfil the obligations set out in Articles 6 to 16 on behalf of the ultimate parent company, including the obligations of the ultimate parent company with respect to the activities of its subsidiaries. In such a case, the designated subsidiary is given all the necessary means and legal authority to fulfil those obligations in an effective manner, </w:t>
            </w:r>
            <w:proofErr w:type="gramStart"/>
            <w:r w:rsidRPr="00941D7C">
              <w:rPr>
                <w:lang w:val="en-GB"/>
              </w:rPr>
              <w:t>in particular to</w:t>
            </w:r>
            <w:proofErr w:type="gramEnd"/>
            <w:r w:rsidRPr="00941D7C">
              <w:rPr>
                <w:lang w:val="en-GB"/>
              </w:rPr>
              <w:t xml:space="preserve"> ensure that the designated subsidiary obtains from the companies of the group the relevant information and documents to fulfil the obligations of the ultimate parent company under this Directive.’;</w:t>
            </w:r>
          </w:p>
        </w:tc>
      </w:tr>
    </w:tbl>
    <w:p w14:paraId="49466EDC" w14:textId="77777777" w:rsidR="004D7AB7" w:rsidRPr="00941D7C" w:rsidRDefault="004D7AB7" w:rsidP="004D7AB7">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2E17CC09" w14:textId="77777777" w:rsidR="004D7AB7" w:rsidRPr="00941D7C" w:rsidRDefault="004D7AB7" w:rsidP="004D7AB7">
      <w:r w:rsidRPr="00941D7C">
        <w:rPr>
          <w:rStyle w:val="HideTWBExt"/>
        </w:rPr>
        <w:t>&lt;/Amend&gt;</w:t>
      </w:r>
    </w:p>
    <w:p w14:paraId="61FB2E23" w14:textId="19FE5DA4"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57</w:t>
      </w:r>
      <w:r w:rsidRPr="00941D7C">
        <w:rPr>
          <w:rStyle w:val="HideTWBExt"/>
          <w:lang w:val="en-GB"/>
        </w:rPr>
        <w:t>&lt;/NumAm&gt;</w:t>
      </w:r>
    </w:p>
    <w:p w14:paraId="7C25EFBE"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566B55F7"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3</w:t>
      </w:r>
      <w:r w:rsidRPr="008C7353">
        <w:rPr>
          <w:rStyle w:val="HideTWBExt"/>
          <w:lang w:val="fr-FR"/>
        </w:rPr>
        <w:t>&lt;/Article&gt;</w:t>
      </w:r>
    </w:p>
    <w:p w14:paraId="6ECDCE01" w14:textId="77777777" w:rsidR="00EE4038" w:rsidRPr="008C7353" w:rsidRDefault="00EE4038" w:rsidP="00EE4038">
      <w:pPr>
        <w:keepNext/>
        <w:rPr>
          <w:lang w:val="fr-FR"/>
        </w:rPr>
      </w:pPr>
      <w:r w:rsidRPr="008C7353">
        <w:rPr>
          <w:rStyle w:val="HideTWBExt"/>
          <w:lang w:val="fr-FR"/>
        </w:rPr>
        <w:t>&lt;DocAmend2&gt;</w:t>
      </w:r>
      <w:r w:rsidRPr="008C7353">
        <w:rPr>
          <w:lang w:val="fr-FR"/>
        </w:rPr>
        <w:t>Directive (EU) 2024/1760</w:t>
      </w:r>
      <w:r w:rsidRPr="008C7353">
        <w:rPr>
          <w:rStyle w:val="HideTWBExt"/>
          <w:lang w:val="fr-FR"/>
        </w:rPr>
        <w:t>&lt;/DocAmend2&gt;</w:t>
      </w:r>
    </w:p>
    <w:p w14:paraId="6864DE11" w14:textId="77777777" w:rsidR="00EE4038" w:rsidRPr="00941D7C" w:rsidRDefault="00EE4038" w:rsidP="00EE4038">
      <w:r w:rsidRPr="00941D7C">
        <w:rPr>
          <w:rStyle w:val="HideTWBExt"/>
        </w:rPr>
        <w:t>&lt;Article2&gt;</w:t>
      </w:r>
      <w:r w:rsidRPr="00941D7C">
        <w:t>Article 4 – paragraph 1</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4ED28E39" w14:textId="77777777" w:rsidTr="00EE4038">
        <w:trPr>
          <w:jc w:val="center"/>
        </w:trPr>
        <w:tc>
          <w:tcPr>
            <w:tcW w:w="9752" w:type="dxa"/>
            <w:gridSpan w:val="2"/>
          </w:tcPr>
          <w:p w14:paraId="00A82CFD" w14:textId="77777777" w:rsidR="00EE4038" w:rsidRPr="00941D7C" w:rsidRDefault="00EE4038">
            <w:pPr>
              <w:keepNext/>
            </w:pPr>
          </w:p>
        </w:tc>
      </w:tr>
      <w:tr w:rsidR="00EE4038" w:rsidRPr="00941D7C" w14:paraId="0F05B09D" w14:textId="77777777" w:rsidTr="00EE4038">
        <w:trPr>
          <w:jc w:val="center"/>
        </w:trPr>
        <w:tc>
          <w:tcPr>
            <w:tcW w:w="4876" w:type="dxa"/>
            <w:hideMark/>
          </w:tcPr>
          <w:p w14:paraId="7EA6EFE7"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654E7C5C" w14:textId="77777777" w:rsidR="00EE4038" w:rsidRPr="00941D7C" w:rsidRDefault="00EE4038">
            <w:pPr>
              <w:pStyle w:val="ColumnHeading"/>
              <w:keepNext/>
              <w:rPr>
                <w:lang w:val="en-GB"/>
              </w:rPr>
            </w:pPr>
            <w:r w:rsidRPr="00941D7C">
              <w:rPr>
                <w:lang w:val="en-GB"/>
              </w:rPr>
              <w:t>Amendment</w:t>
            </w:r>
          </w:p>
        </w:tc>
      </w:tr>
      <w:tr w:rsidR="00EE4038" w:rsidRPr="00941D7C" w14:paraId="65CCA38E" w14:textId="77777777" w:rsidTr="00EE4038">
        <w:trPr>
          <w:jc w:val="center"/>
        </w:trPr>
        <w:tc>
          <w:tcPr>
            <w:tcW w:w="4876" w:type="dxa"/>
            <w:hideMark/>
          </w:tcPr>
          <w:p w14:paraId="68552CAF" w14:textId="77777777" w:rsidR="00EE4038" w:rsidRPr="00941D7C" w:rsidRDefault="00EE4038">
            <w:pPr>
              <w:pStyle w:val="Normal6"/>
              <w:rPr>
                <w:lang w:val="en-GB"/>
              </w:rPr>
            </w:pPr>
            <w:r w:rsidRPr="00941D7C">
              <w:rPr>
                <w:b/>
                <w:i/>
                <w:lang w:val="en-GB"/>
              </w:rPr>
              <w:t>1.</w:t>
            </w:r>
            <w:r w:rsidRPr="00941D7C">
              <w:rPr>
                <w:b/>
                <w:i/>
                <w:lang w:val="en-GB"/>
              </w:rPr>
              <w:tab/>
            </w:r>
            <w:r w:rsidRPr="00941D7C">
              <w:rPr>
                <w:lang w:val="en-GB"/>
              </w:rPr>
              <w:t xml:space="preserve">Without prejudice to Article 1(2) and (3), Member States shall not introduce, in their national law, provisions within the field covered by this Directive </w:t>
            </w:r>
            <w:r w:rsidRPr="00941D7C">
              <w:rPr>
                <w:b/>
                <w:i/>
                <w:lang w:val="en-GB"/>
              </w:rPr>
              <w:t>laying down human rights and environmental due diligence obligations</w:t>
            </w:r>
            <w:r w:rsidRPr="00941D7C">
              <w:rPr>
                <w:lang w:val="en-GB"/>
              </w:rPr>
              <w:t xml:space="preserve"> diverging from those laid down in Articles </w:t>
            </w:r>
            <w:r w:rsidRPr="00941D7C">
              <w:rPr>
                <w:b/>
                <w:i/>
                <w:lang w:val="en-GB"/>
              </w:rPr>
              <w:t>6 and 8, Article 10(1) to (5), Article 11(1) to (6) and Article 14</w:t>
            </w:r>
            <w:r w:rsidRPr="00941D7C">
              <w:rPr>
                <w:lang w:val="en-GB"/>
              </w:rPr>
              <w:t>.</w:t>
            </w:r>
          </w:p>
        </w:tc>
        <w:tc>
          <w:tcPr>
            <w:tcW w:w="4876" w:type="dxa"/>
            <w:hideMark/>
          </w:tcPr>
          <w:p w14:paraId="26A01183" w14:textId="1821A823" w:rsidR="00EE4038" w:rsidRPr="00941D7C" w:rsidRDefault="00EE4038" w:rsidP="00DD0B81">
            <w:pPr>
              <w:pStyle w:val="Normal6"/>
              <w:rPr>
                <w:szCs w:val="24"/>
                <w:lang w:val="en-GB"/>
              </w:rPr>
            </w:pPr>
            <w:r w:rsidRPr="00941D7C">
              <w:rPr>
                <w:lang w:val="en-GB"/>
              </w:rPr>
              <w:t xml:space="preserve">Without prejudice to Article 1(2) and (3), Member States shall not introduce, in their national law, provisions within the field covered by this Directive diverging from those laid down in Articles </w:t>
            </w:r>
            <w:r w:rsidRPr="00941D7C">
              <w:rPr>
                <w:b/>
                <w:i/>
                <w:lang w:val="en-GB"/>
              </w:rPr>
              <w:t>2</w:t>
            </w:r>
            <w:r w:rsidR="00DD0B81" w:rsidRPr="00941D7C">
              <w:rPr>
                <w:b/>
                <w:i/>
                <w:lang w:val="en-GB"/>
              </w:rPr>
              <w:t xml:space="preserve"> and</w:t>
            </w:r>
            <w:r w:rsidRPr="00941D7C">
              <w:rPr>
                <w:b/>
                <w:i/>
                <w:lang w:val="en-GB"/>
              </w:rPr>
              <w:t xml:space="preserve"> 3, </w:t>
            </w:r>
            <w:r w:rsidR="00DD0B81" w:rsidRPr="00941D7C">
              <w:rPr>
                <w:b/>
                <w:i/>
                <w:lang w:val="en-GB"/>
              </w:rPr>
              <w:t>Articles </w:t>
            </w:r>
            <w:r w:rsidRPr="00941D7C">
              <w:rPr>
                <w:b/>
                <w:i/>
                <w:lang w:val="en-GB"/>
              </w:rPr>
              <w:t>6 to 16 and Articles 24</w:t>
            </w:r>
            <w:r w:rsidR="00DD0B81" w:rsidRPr="00941D7C">
              <w:rPr>
                <w:b/>
                <w:i/>
                <w:lang w:val="en-GB"/>
              </w:rPr>
              <w:t>, 25 and</w:t>
            </w:r>
            <w:r w:rsidRPr="00941D7C">
              <w:rPr>
                <w:b/>
                <w:i/>
                <w:lang w:val="en-GB"/>
              </w:rPr>
              <w:t xml:space="preserve"> 26</w:t>
            </w:r>
            <w:r w:rsidRPr="00941D7C">
              <w:rPr>
                <w:lang w:val="en-GB"/>
              </w:rPr>
              <w:t>.</w:t>
            </w:r>
          </w:p>
        </w:tc>
      </w:tr>
    </w:tbl>
    <w:p w14:paraId="76AB7E09"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2C0F1E59" w14:textId="77777777" w:rsidR="00EE4038" w:rsidRPr="00941D7C" w:rsidRDefault="00EE4038" w:rsidP="00EE4038">
      <w:r w:rsidRPr="00941D7C">
        <w:rPr>
          <w:rStyle w:val="HideTWBExt"/>
        </w:rPr>
        <w:t>&lt;/Amend&gt;</w:t>
      </w:r>
    </w:p>
    <w:p w14:paraId="5B0C1891" w14:textId="5E3C0E1F"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58</w:t>
      </w:r>
      <w:r w:rsidRPr="00941D7C">
        <w:rPr>
          <w:rStyle w:val="HideTWBExt"/>
          <w:lang w:val="en-GB"/>
        </w:rPr>
        <w:t>&lt;/NumAm&gt;</w:t>
      </w:r>
    </w:p>
    <w:p w14:paraId="7A176384"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6E51ADEB"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3</w:t>
      </w:r>
      <w:r w:rsidRPr="008C7353">
        <w:rPr>
          <w:rStyle w:val="HideTWBExt"/>
          <w:lang w:val="fr-FR"/>
        </w:rPr>
        <w:t>&lt;/Article&gt;</w:t>
      </w:r>
    </w:p>
    <w:p w14:paraId="4E8A1106" w14:textId="77777777" w:rsidR="00EE4038" w:rsidRPr="008C7353" w:rsidRDefault="00EE4038" w:rsidP="00EE4038">
      <w:pPr>
        <w:keepNext/>
        <w:rPr>
          <w:lang w:val="fr-FR"/>
        </w:rPr>
      </w:pPr>
      <w:r w:rsidRPr="008C7353">
        <w:rPr>
          <w:rStyle w:val="HideTWBExt"/>
          <w:lang w:val="fr-FR"/>
        </w:rPr>
        <w:t>&lt;DocAmend2&gt;</w:t>
      </w:r>
      <w:r w:rsidRPr="008C7353">
        <w:rPr>
          <w:lang w:val="fr-FR"/>
        </w:rPr>
        <w:t>Directive (EU) 2024/1760</w:t>
      </w:r>
      <w:r w:rsidRPr="008C7353">
        <w:rPr>
          <w:rStyle w:val="HideTWBExt"/>
          <w:lang w:val="fr-FR"/>
        </w:rPr>
        <w:t>&lt;/DocAmend2&gt;</w:t>
      </w:r>
    </w:p>
    <w:p w14:paraId="21BBE860" w14:textId="77777777" w:rsidR="00EE4038" w:rsidRPr="00941D7C" w:rsidRDefault="00EE4038" w:rsidP="00EE4038">
      <w:r w:rsidRPr="00941D7C">
        <w:rPr>
          <w:rStyle w:val="HideTWBExt"/>
        </w:rPr>
        <w:t>&lt;Article2&gt;</w:t>
      </w:r>
      <w:r w:rsidRPr="00941D7C">
        <w:t>Article 4 – paragraph 2</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4B0BB194" w14:textId="77777777" w:rsidTr="00EE4038">
        <w:trPr>
          <w:jc w:val="center"/>
        </w:trPr>
        <w:tc>
          <w:tcPr>
            <w:tcW w:w="9752" w:type="dxa"/>
            <w:gridSpan w:val="2"/>
          </w:tcPr>
          <w:p w14:paraId="40CE7282" w14:textId="77777777" w:rsidR="00EE4038" w:rsidRPr="00941D7C" w:rsidRDefault="00EE4038">
            <w:pPr>
              <w:keepNext/>
            </w:pPr>
          </w:p>
        </w:tc>
      </w:tr>
      <w:tr w:rsidR="00EE4038" w:rsidRPr="00941D7C" w14:paraId="7007DA6E" w14:textId="77777777" w:rsidTr="00EE4038">
        <w:trPr>
          <w:jc w:val="center"/>
        </w:trPr>
        <w:tc>
          <w:tcPr>
            <w:tcW w:w="4876" w:type="dxa"/>
            <w:hideMark/>
          </w:tcPr>
          <w:p w14:paraId="1AA85821"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4749A9E7" w14:textId="77777777" w:rsidR="00EE4038" w:rsidRPr="00941D7C" w:rsidRDefault="00EE4038">
            <w:pPr>
              <w:pStyle w:val="ColumnHeading"/>
              <w:keepNext/>
              <w:rPr>
                <w:lang w:val="en-GB"/>
              </w:rPr>
            </w:pPr>
            <w:r w:rsidRPr="00941D7C">
              <w:rPr>
                <w:lang w:val="en-GB"/>
              </w:rPr>
              <w:t>Amendment</w:t>
            </w:r>
          </w:p>
        </w:tc>
      </w:tr>
      <w:tr w:rsidR="00EE4038" w:rsidRPr="00941D7C" w14:paraId="5077450C" w14:textId="77777777" w:rsidTr="00EE4038">
        <w:trPr>
          <w:jc w:val="center"/>
        </w:trPr>
        <w:tc>
          <w:tcPr>
            <w:tcW w:w="4876" w:type="dxa"/>
            <w:hideMark/>
          </w:tcPr>
          <w:p w14:paraId="7853B428" w14:textId="40F69912" w:rsidR="00EE4038" w:rsidRPr="00941D7C" w:rsidRDefault="00EE4038">
            <w:pPr>
              <w:pStyle w:val="Normal6"/>
              <w:rPr>
                <w:lang w:val="en-GB"/>
              </w:rPr>
            </w:pPr>
            <w:r w:rsidRPr="00941D7C">
              <w:rPr>
                <w:b/>
                <w:i/>
                <w:lang w:val="en-GB"/>
              </w:rPr>
              <w:t>2.</w:t>
            </w:r>
            <w:r w:rsidRPr="00941D7C">
              <w:rPr>
                <w:b/>
                <w:i/>
                <w:lang w:val="en-GB"/>
              </w:rPr>
              <w:tab/>
              <w:t>Notwithstanding paragraph 1, this Directive shall not preclude Member States from introducing, in their national law, more stringent provisions diverging from those laid down in provisions other than Articles 6 and, 8, Article 10(1) to (5), Article 11(1) to (6) and Article 14, or provisions that are more specific in terms of the objective or the field covered, including by regulating specific products, services or situations, in order to achieve a different level of protection of human, employment and social rights, the environment or the climate.</w:t>
            </w:r>
          </w:p>
        </w:tc>
        <w:tc>
          <w:tcPr>
            <w:tcW w:w="4876" w:type="dxa"/>
            <w:hideMark/>
          </w:tcPr>
          <w:p w14:paraId="3E3348A9" w14:textId="77777777" w:rsidR="00EE4038" w:rsidRPr="00941D7C" w:rsidRDefault="00EE4038">
            <w:pPr>
              <w:pStyle w:val="Normal6"/>
              <w:rPr>
                <w:szCs w:val="24"/>
                <w:lang w:val="en-GB"/>
              </w:rPr>
            </w:pPr>
            <w:r w:rsidRPr="00941D7C">
              <w:rPr>
                <w:b/>
                <w:i/>
                <w:lang w:val="en-GB"/>
              </w:rPr>
              <w:t>deleted</w:t>
            </w:r>
          </w:p>
        </w:tc>
      </w:tr>
    </w:tbl>
    <w:p w14:paraId="0AA0CC68"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55CE6C99" w14:textId="77777777" w:rsidR="00EE4038" w:rsidRPr="00941D7C" w:rsidRDefault="00EE4038" w:rsidP="00EE4038">
      <w:r w:rsidRPr="00941D7C">
        <w:rPr>
          <w:rStyle w:val="HideTWBExt"/>
        </w:rPr>
        <w:t>&lt;/Amend&gt;</w:t>
      </w:r>
    </w:p>
    <w:p w14:paraId="6B2919F9" w14:textId="4F5B3143"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59</w:t>
      </w:r>
      <w:r w:rsidRPr="00941D7C">
        <w:rPr>
          <w:rStyle w:val="HideTWBExt"/>
          <w:lang w:val="en-GB"/>
        </w:rPr>
        <w:t>&lt;/NumAm&gt;</w:t>
      </w:r>
    </w:p>
    <w:p w14:paraId="22D650FB"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12ED79D7" w14:textId="77777777" w:rsidR="00EE4038" w:rsidRPr="00941D7C" w:rsidRDefault="00EE4038" w:rsidP="00EE4038">
      <w:pPr>
        <w:pStyle w:val="NormalBold"/>
      </w:pPr>
      <w:r w:rsidRPr="00941D7C">
        <w:rPr>
          <w:rStyle w:val="HideTWBExt"/>
        </w:rPr>
        <w:t>&lt;Article&gt;</w:t>
      </w:r>
      <w:r w:rsidRPr="00941D7C">
        <w:t>Article 4 – paragraph 1 – point 3 a (new)</w:t>
      </w:r>
      <w:r w:rsidR="00E84907" w:rsidRPr="00941D7C">
        <w:t xml:space="preserve"> – point a</w:t>
      </w:r>
      <w:r w:rsidRPr="00941D7C">
        <w:rPr>
          <w:rStyle w:val="HideTWBExt"/>
        </w:rPr>
        <w:t>&lt;/Article&gt;</w:t>
      </w:r>
    </w:p>
    <w:p w14:paraId="3B67D99D" w14:textId="77777777" w:rsidR="00EE4038" w:rsidRPr="00941D7C" w:rsidRDefault="00EE4038" w:rsidP="00EE4038">
      <w:pPr>
        <w:keepNext/>
      </w:pPr>
      <w:r w:rsidRPr="00941D7C">
        <w:rPr>
          <w:rStyle w:val="HideTWBExt"/>
        </w:rPr>
        <w:t>&lt;DocAmend2&gt;</w:t>
      </w:r>
      <w:r w:rsidRPr="00941D7C">
        <w:t>Directive (EU) 2024/1760</w:t>
      </w:r>
      <w:r w:rsidRPr="00941D7C">
        <w:rPr>
          <w:rStyle w:val="HideTWBExt"/>
        </w:rPr>
        <w:t>&lt;/DocAmend2&gt;</w:t>
      </w:r>
    </w:p>
    <w:p w14:paraId="1A1431D5" w14:textId="77777777" w:rsidR="00EE4038" w:rsidRPr="00941D7C" w:rsidRDefault="00EE4038" w:rsidP="00EE4038">
      <w:r w:rsidRPr="00941D7C">
        <w:rPr>
          <w:rStyle w:val="HideTWBExt"/>
        </w:rPr>
        <w:t>&lt;Article2&gt;</w:t>
      </w:r>
      <w:r w:rsidRPr="00941D7C">
        <w:t>Article 6 – paragraph 1</w:t>
      </w:r>
      <w:r w:rsidRPr="00941D7C">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0ABEE3A8" w14:textId="77777777" w:rsidTr="007C3CBA">
        <w:trPr>
          <w:jc w:val="center"/>
        </w:trPr>
        <w:tc>
          <w:tcPr>
            <w:tcW w:w="9752" w:type="dxa"/>
            <w:gridSpan w:val="2"/>
          </w:tcPr>
          <w:p w14:paraId="13C86B09" w14:textId="77777777" w:rsidR="00EE4038" w:rsidRPr="00941D7C" w:rsidRDefault="00EE4038">
            <w:pPr>
              <w:keepNext/>
            </w:pPr>
          </w:p>
        </w:tc>
      </w:tr>
      <w:tr w:rsidR="00EE4038" w:rsidRPr="00941D7C" w14:paraId="1250386F" w14:textId="77777777" w:rsidTr="007C3CBA">
        <w:trPr>
          <w:jc w:val="center"/>
        </w:trPr>
        <w:tc>
          <w:tcPr>
            <w:tcW w:w="4876" w:type="dxa"/>
            <w:hideMark/>
          </w:tcPr>
          <w:p w14:paraId="58305E06" w14:textId="77777777" w:rsidR="00EE4038" w:rsidRPr="00941D7C" w:rsidRDefault="00EE4038">
            <w:pPr>
              <w:pStyle w:val="ColumnHeading"/>
              <w:keepNext/>
              <w:rPr>
                <w:lang w:val="en-GB"/>
              </w:rPr>
            </w:pPr>
            <w:r w:rsidRPr="00941D7C">
              <w:rPr>
                <w:lang w:val="en-GB"/>
              </w:rPr>
              <w:t>Present text</w:t>
            </w:r>
          </w:p>
        </w:tc>
        <w:tc>
          <w:tcPr>
            <w:tcW w:w="4876" w:type="dxa"/>
            <w:hideMark/>
          </w:tcPr>
          <w:p w14:paraId="5293FCA5" w14:textId="77777777" w:rsidR="00EE4038" w:rsidRPr="00941D7C" w:rsidRDefault="00EE4038">
            <w:pPr>
              <w:pStyle w:val="ColumnHeading"/>
              <w:keepNext/>
              <w:rPr>
                <w:lang w:val="en-GB"/>
              </w:rPr>
            </w:pPr>
            <w:r w:rsidRPr="00941D7C">
              <w:rPr>
                <w:lang w:val="en-GB"/>
              </w:rPr>
              <w:t>Amendment</w:t>
            </w:r>
          </w:p>
        </w:tc>
      </w:tr>
      <w:tr w:rsidR="00EE4038" w:rsidRPr="00941D7C" w14:paraId="197D2D38" w14:textId="77777777" w:rsidTr="007C3CBA">
        <w:trPr>
          <w:jc w:val="center"/>
        </w:trPr>
        <w:tc>
          <w:tcPr>
            <w:tcW w:w="4876" w:type="dxa"/>
          </w:tcPr>
          <w:p w14:paraId="2A91C2C8" w14:textId="77777777" w:rsidR="00EE4038" w:rsidRPr="00941D7C" w:rsidRDefault="00EE4038">
            <w:pPr>
              <w:pStyle w:val="Normal6"/>
              <w:rPr>
                <w:lang w:val="en-GB"/>
              </w:rPr>
            </w:pPr>
          </w:p>
        </w:tc>
        <w:tc>
          <w:tcPr>
            <w:tcW w:w="4876" w:type="dxa"/>
            <w:hideMark/>
          </w:tcPr>
          <w:p w14:paraId="34EA3EEF" w14:textId="77777777" w:rsidR="00EE4038" w:rsidRPr="00941D7C" w:rsidRDefault="00EE4038">
            <w:pPr>
              <w:pStyle w:val="Normal6"/>
              <w:rPr>
                <w:szCs w:val="24"/>
                <w:lang w:val="en-GB"/>
              </w:rPr>
            </w:pPr>
            <w:r w:rsidRPr="00941D7C">
              <w:rPr>
                <w:b/>
                <w:i/>
                <w:lang w:val="en-GB"/>
              </w:rPr>
              <w:t>(3a)</w:t>
            </w:r>
            <w:r w:rsidRPr="00941D7C">
              <w:rPr>
                <w:b/>
                <w:i/>
                <w:lang w:val="en-GB"/>
              </w:rPr>
              <w:tab/>
              <w:t>Article 6 is amended as follows:</w:t>
            </w:r>
          </w:p>
        </w:tc>
      </w:tr>
      <w:tr w:rsidR="00EE4038" w:rsidRPr="00941D7C" w14:paraId="200B95AC" w14:textId="77777777" w:rsidTr="007C3CBA">
        <w:trPr>
          <w:jc w:val="center"/>
        </w:trPr>
        <w:tc>
          <w:tcPr>
            <w:tcW w:w="4876" w:type="dxa"/>
          </w:tcPr>
          <w:p w14:paraId="723C8160" w14:textId="77777777" w:rsidR="00EE4038" w:rsidRPr="00941D7C" w:rsidRDefault="00EE4038">
            <w:pPr>
              <w:pStyle w:val="Normal6"/>
              <w:rPr>
                <w:lang w:val="en-GB"/>
              </w:rPr>
            </w:pPr>
          </w:p>
        </w:tc>
        <w:tc>
          <w:tcPr>
            <w:tcW w:w="4876" w:type="dxa"/>
            <w:hideMark/>
          </w:tcPr>
          <w:p w14:paraId="163C3D62" w14:textId="787DBC7D" w:rsidR="00EE4038" w:rsidRPr="00941D7C" w:rsidRDefault="00EE4038">
            <w:pPr>
              <w:pStyle w:val="Normal6"/>
              <w:rPr>
                <w:szCs w:val="24"/>
                <w:lang w:val="en-GB"/>
              </w:rPr>
            </w:pPr>
            <w:r w:rsidRPr="00941D7C">
              <w:rPr>
                <w:b/>
                <w:i/>
                <w:lang w:val="en-GB"/>
              </w:rPr>
              <w:t>(a)</w:t>
            </w:r>
            <w:r w:rsidR="00E84907" w:rsidRPr="00941D7C">
              <w:rPr>
                <w:b/>
                <w:i/>
                <w:lang w:val="en-GB"/>
              </w:rPr>
              <w:tab/>
            </w:r>
            <w:r w:rsidRPr="00941D7C">
              <w:rPr>
                <w:b/>
                <w:i/>
                <w:lang w:val="en-GB"/>
              </w:rPr>
              <w:t>paragraph 1 is replaced by the following:</w:t>
            </w:r>
          </w:p>
        </w:tc>
      </w:tr>
      <w:tr w:rsidR="00EE4038" w:rsidRPr="00941D7C" w14:paraId="067AB206" w14:textId="77777777" w:rsidTr="007C3CBA">
        <w:trPr>
          <w:jc w:val="center"/>
        </w:trPr>
        <w:tc>
          <w:tcPr>
            <w:tcW w:w="4876" w:type="dxa"/>
            <w:hideMark/>
          </w:tcPr>
          <w:p w14:paraId="77799C61" w14:textId="77777777" w:rsidR="00EE4038" w:rsidRPr="00941D7C" w:rsidRDefault="00EE4038">
            <w:pPr>
              <w:pStyle w:val="Normal6"/>
              <w:rPr>
                <w:lang w:val="en-GB"/>
              </w:rPr>
            </w:pPr>
            <w:r w:rsidRPr="00941D7C">
              <w:rPr>
                <w:lang w:val="en-GB"/>
              </w:rPr>
              <w:t>1.</w:t>
            </w:r>
            <w:r w:rsidRPr="00941D7C">
              <w:rPr>
                <w:lang w:val="en-GB"/>
              </w:rPr>
              <w:tab/>
              <w:t xml:space="preserve">Member States shall ensure that parent companies falling under the scope of this Directive are allowed to fulfil the obligations set out in Articles 7 to 11 </w:t>
            </w:r>
            <w:r w:rsidRPr="00941D7C">
              <w:rPr>
                <w:b/>
                <w:i/>
                <w:lang w:val="en-GB"/>
              </w:rPr>
              <w:t>and Article 22</w:t>
            </w:r>
            <w:r w:rsidRPr="00941D7C">
              <w:rPr>
                <w:lang w:val="en-GB"/>
              </w:rPr>
              <w:t xml:space="preserve"> on behalf of companies which are subsidiaries of those parent companies and fall under the scope of this Directive, if this ensures effective compliance. This is without prejudice to such subsidiaries being subject to the exercise of the supervisory authority’s powers in accordance with Article 25 and to their civil liability in accordance with Article 29.</w:t>
            </w:r>
          </w:p>
        </w:tc>
        <w:tc>
          <w:tcPr>
            <w:tcW w:w="4876" w:type="dxa"/>
            <w:hideMark/>
          </w:tcPr>
          <w:p w14:paraId="0F713E96" w14:textId="77777777" w:rsidR="00EE4038" w:rsidRPr="00941D7C" w:rsidRDefault="00EE4038">
            <w:pPr>
              <w:pStyle w:val="Normal6"/>
              <w:rPr>
                <w:szCs w:val="24"/>
                <w:lang w:val="en-GB"/>
              </w:rPr>
            </w:pPr>
            <w:r w:rsidRPr="00941D7C">
              <w:rPr>
                <w:b/>
                <w:i/>
                <w:lang w:val="en-GB"/>
              </w:rPr>
              <w:t>‘</w:t>
            </w:r>
            <w:r w:rsidRPr="00941D7C">
              <w:rPr>
                <w:lang w:val="en-GB"/>
              </w:rPr>
              <w:t>1</w:t>
            </w:r>
            <w:r w:rsidRPr="00941D7C">
              <w:rPr>
                <w:lang w:val="en-GB"/>
              </w:rPr>
              <w:tab/>
              <w:t>Member States shall ensure that parent companies falling under the scope of this Directive are allowed to fulfil the obligations set out in Articles 7 to 11 on behalf of companies which are subsidiaries of those parent companies and fall under the scope of this Directive, if this ensures effective compliance. This is without prejudice to such subsidiaries being subject to the exercise of the supervisory authority’s powers in accordance with Article 25 and to their civil liability in accordance with Article 29.</w:t>
            </w:r>
            <w:r w:rsidRPr="00941D7C">
              <w:rPr>
                <w:b/>
                <w:i/>
                <w:lang w:val="en-GB"/>
              </w:rPr>
              <w:t>’</w:t>
            </w:r>
          </w:p>
        </w:tc>
      </w:tr>
    </w:tbl>
    <w:p w14:paraId="48D1F30B"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3965DBAA" w14:textId="77777777" w:rsidR="00EE4038" w:rsidRPr="00941D7C" w:rsidRDefault="00EE4038" w:rsidP="00EE4038">
      <w:r w:rsidRPr="00941D7C">
        <w:rPr>
          <w:rStyle w:val="HideTWBExt"/>
        </w:rPr>
        <w:t>&lt;/Amend&gt;</w:t>
      </w:r>
    </w:p>
    <w:p w14:paraId="13A8ED77" w14:textId="52C3C73F" w:rsidR="00E84907" w:rsidRPr="00941D7C" w:rsidRDefault="00E84907" w:rsidP="00E84907">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60</w:t>
      </w:r>
      <w:r w:rsidRPr="00941D7C">
        <w:rPr>
          <w:rStyle w:val="HideTWBExt"/>
          <w:lang w:val="en-GB"/>
        </w:rPr>
        <w:t>&lt;/NumAm&gt;</w:t>
      </w:r>
    </w:p>
    <w:p w14:paraId="52AAA680" w14:textId="77777777" w:rsidR="00E84907" w:rsidRPr="00941D7C" w:rsidRDefault="00E84907" w:rsidP="00E84907">
      <w:pPr>
        <w:pStyle w:val="NormalBold12b"/>
        <w:keepNext/>
      </w:pPr>
      <w:r w:rsidRPr="00941D7C">
        <w:rPr>
          <w:rStyle w:val="HideTWBExt"/>
        </w:rPr>
        <w:t>&lt;DocAmend&gt;</w:t>
      </w:r>
      <w:r w:rsidRPr="00941D7C">
        <w:t>Proposal for a directive</w:t>
      </w:r>
      <w:r w:rsidRPr="00941D7C">
        <w:rPr>
          <w:rStyle w:val="HideTWBExt"/>
        </w:rPr>
        <w:t>&lt;/DocAmend&gt;</w:t>
      </w:r>
    </w:p>
    <w:p w14:paraId="77C26625" w14:textId="77777777" w:rsidR="00E84907" w:rsidRPr="008C7353" w:rsidRDefault="00E84907" w:rsidP="00E84907">
      <w:pPr>
        <w:pStyle w:val="NormalBold"/>
        <w:rPr>
          <w:lang w:val="fr-FR"/>
        </w:rPr>
      </w:pPr>
      <w:r w:rsidRPr="008C7353">
        <w:rPr>
          <w:rStyle w:val="HideTWBExt"/>
          <w:lang w:val="fr-FR"/>
        </w:rPr>
        <w:t>&lt;Article&gt;</w:t>
      </w:r>
      <w:r w:rsidRPr="008C7353">
        <w:rPr>
          <w:lang w:val="fr-FR"/>
        </w:rPr>
        <w:t>Article 4 – paragraph 1 – point 3 a (new) – point b</w:t>
      </w:r>
      <w:r w:rsidRPr="008C7353">
        <w:rPr>
          <w:rStyle w:val="HideTWBExt"/>
          <w:lang w:val="fr-FR"/>
        </w:rPr>
        <w:t>&lt;/Article&gt;</w:t>
      </w:r>
    </w:p>
    <w:p w14:paraId="77D59DFD" w14:textId="77777777" w:rsidR="00E84907" w:rsidRPr="008C7353" w:rsidRDefault="00E84907" w:rsidP="00E84907">
      <w:pPr>
        <w:keepNext/>
        <w:rPr>
          <w:lang w:val="fr-FR"/>
        </w:rPr>
      </w:pPr>
      <w:r w:rsidRPr="008C7353">
        <w:rPr>
          <w:rStyle w:val="HideTWBExt"/>
          <w:lang w:val="fr-FR"/>
        </w:rPr>
        <w:t>&lt;DocAmend2&gt;</w:t>
      </w:r>
      <w:r w:rsidRPr="008C7353">
        <w:rPr>
          <w:lang w:val="fr-FR"/>
        </w:rPr>
        <w:t>Directive (EU) 2024/1760</w:t>
      </w:r>
      <w:r w:rsidRPr="008C7353">
        <w:rPr>
          <w:rStyle w:val="HideTWBExt"/>
          <w:lang w:val="fr-FR"/>
        </w:rPr>
        <w:t>&lt;/DocAmend2&gt;</w:t>
      </w:r>
    </w:p>
    <w:p w14:paraId="591AD930" w14:textId="77777777" w:rsidR="00E84907" w:rsidRPr="00941D7C" w:rsidRDefault="00E84907" w:rsidP="00E84907">
      <w:r w:rsidRPr="00941D7C">
        <w:rPr>
          <w:rStyle w:val="HideTWBExt"/>
        </w:rPr>
        <w:t>&lt;Article2&gt;</w:t>
      </w:r>
      <w:r w:rsidRPr="00941D7C">
        <w:t>Article 6 – paragraph 3</w:t>
      </w:r>
      <w:r w:rsidRPr="00941D7C">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84907" w:rsidRPr="00941D7C" w14:paraId="19F49959" w14:textId="77777777" w:rsidTr="007C3CBA">
        <w:trPr>
          <w:jc w:val="center"/>
        </w:trPr>
        <w:tc>
          <w:tcPr>
            <w:tcW w:w="9752" w:type="dxa"/>
            <w:gridSpan w:val="2"/>
          </w:tcPr>
          <w:p w14:paraId="760ADE07" w14:textId="77777777" w:rsidR="00E84907" w:rsidRPr="00941D7C" w:rsidRDefault="00E84907" w:rsidP="005D3964">
            <w:pPr>
              <w:keepNext/>
            </w:pPr>
          </w:p>
        </w:tc>
      </w:tr>
      <w:tr w:rsidR="00E84907" w:rsidRPr="00941D7C" w14:paraId="6CF8BC97" w14:textId="77777777" w:rsidTr="007C3CBA">
        <w:trPr>
          <w:jc w:val="center"/>
        </w:trPr>
        <w:tc>
          <w:tcPr>
            <w:tcW w:w="4876" w:type="dxa"/>
            <w:hideMark/>
          </w:tcPr>
          <w:p w14:paraId="57ABA6E6" w14:textId="77777777" w:rsidR="00E84907" w:rsidRPr="00941D7C" w:rsidRDefault="00E84907" w:rsidP="005D3964">
            <w:pPr>
              <w:pStyle w:val="ColumnHeading"/>
              <w:keepNext/>
              <w:rPr>
                <w:lang w:val="en-GB"/>
              </w:rPr>
            </w:pPr>
            <w:r w:rsidRPr="00941D7C">
              <w:rPr>
                <w:lang w:val="en-GB"/>
              </w:rPr>
              <w:t>Text proposed by the Commission</w:t>
            </w:r>
          </w:p>
        </w:tc>
        <w:tc>
          <w:tcPr>
            <w:tcW w:w="4876" w:type="dxa"/>
            <w:hideMark/>
          </w:tcPr>
          <w:p w14:paraId="6F2EAEE7" w14:textId="77777777" w:rsidR="00E84907" w:rsidRPr="00941D7C" w:rsidRDefault="00E84907" w:rsidP="005D3964">
            <w:pPr>
              <w:pStyle w:val="ColumnHeading"/>
              <w:keepNext/>
              <w:rPr>
                <w:lang w:val="en-GB"/>
              </w:rPr>
            </w:pPr>
            <w:r w:rsidRPr="00941D7C">
              <w:rPr>
                <w:lang w:val="en-GB"/>
              </w:rPr>
              <w:t>Amendment</w:t>
            </w:r>
          </w:p>
        </w:tc>
      </w:tr>
      <w:tr w:rsidR="00E84907" w:rsidRPr="00941D7C" w14:paraId="08FD824D" w14:textId="77777777" w:rsidTr="007C3CBA">
        <w:trPr>
          <w:jc w:val="center"/>
        </w:trPr>
        <w:tc>
          <w:tcPr>
            <w:tcW w:w="4876" w:type="dxa"/>
          </w:tcPr>
          <w:p w14:paraId="1D67E39F" w14:textId="77777777" w:rsidR="00E84907" w:rsidRPr="00941D7C" w:rsidRDefault="00E84907" w:rsidP="005D3964">
            <w:pPr>
              <w:pStyle w:val="Normal6"/>
              <w:rPr>
                <w:lang w:val="en-GB"/>
              </w:rPr>
            </w:pPr>
          </w:p>
        </w:tc>
        <w:tc>
          <w:tcPr>
            <w:tcW w:w="4876" w:type="dxa"/>
            <w:hideMark/>
          </w:tcPr>
          <w:p w14:paraId="3593FA7E" w14:textId="77777777" w:rsidR="00E84907" w:rsidRPr="00941D7C" w:rsidRDefault="00E84907" w:rsidP="005D3964">
            <w:pPr>
              <w:pStyle w:val="Normal6"/>
              <w:rPr>
                <w:szCs w:val="24"/>
                <w:lang w:val="en-GB"/>
              </w:rPr>
            </w:pPr>
            <w:r w:rsidRPr="00941D7C">
              <w:rPr>
                <w:b/>
                <w:i/>
                <w:lang w:val="en-GB"/>
              </w:rPr>
              <w:t>(b)</w:t>
            </w:r>
            <w:r w:rsidRPr="00941D7C">
              <w:rPr>
                <w:b/>
                <w:i/>
                <w:lang w:val="en-GB"/>
              </w:rPr>
              <w:tab/>
              <w:t>paragraph 3 is deleted.</w:t>
            </w:r>
          </w:p>
        </w:tc>
      </w:tr>
    </w:tbl>
    <w:p w14:paraId="007C853D" w14:textId="77777777" w:rsidR="00E84907" w:rsidRPr="00941D7C" w:rsidRDefault="00E84907" w:rsidP="00E84907">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441030A7" w14:textId="77777777" w:rsidR="00E84907" w:rsidRPr="00941D7C" w:rsidRDefault="00E84907" w:rsidP="00E84907">
      <w:r w:rsidRPr="00941D7C">
        <w:rPr>
          <w:rStyle w:val="HideTWBExt"/>
        </w:rPr>
        <w:t>&lt;/Amend&gt;</w:t>
      </w:r>
    </w:p>
    <w:p w14:paraId="3C27590D" w14:textId="0AB50FDC"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61</w:t>
      </w:r>
      <w:r w:rsidRPr="00941D7C">
        <w:rPr>
          <w:rStyle w:val="HideTWBExt"/>
          <w:lang w:val="en-GB"/>
        </w:rPr>
        <w:t>&lt;/NumAm&gt;</w:t>
      </w:r>
    </w:p>
    <w:p w14:paraId="4C90199E"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4F33B0B1"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4 – point a</w:t>
      </w:r>
      <w:r w:rsidRPr="008C7353">
        <w:rPr>
          <w:rStyle w:val="HideTWBExt"/>
          <w:lang w:val="fr-FR"/>
        </w:rPr>
        <w:t>&lt;/Article&gt;</w:t>
      </w:r>
    </w:p>
    <w:p w14:paraId="0D0E5E88" w14:textId="77777777" w:rsidR="00EE4038" w:rsidRPr="00941D7C" w:rsidRDefault="00EE4038" w:rsidP="00EE4038">
      <w:pPr>
        <w:keepNext/>
      </w:pPr>
      <w:r w:rsidRPr="00941D7C">
        <w:rPr>
          <w:rStyle w:val="HideTWBExt"/>
        </w:rPr>
        <w:t>&lt;DocAmend2&gt;</w:t>
      </w:r>
      <w:r w:rsidRPr="00941D7C">
        <w:t>Directive (EU) 2024/1760</w:t>
      </w:r>
      <w:r w:rsidRPr="00941D7C">
        <w:rPr>
          <w:rStyle w:val="HideTWBExt"/>
        </w:rPr>
        <w:t>&lt;/DocAmend2&gt;</w:t>
      </w:r>
    </w:p>
    <w:p w14:paraId="7B4D2DEB" w14:textId="77777777" w:rsidR="00EE4038" w:rsidRPr="00941D7C" w:rsidRDefault="00EE4038" w:rsidP="00EE4038">
      <w:r w:rsidRPr="00941D7C">
        <w:rPr>
          <w:rStyle w:val="HideTWBExt"/>
        </w:rPr>
        <w:t>&lt;Article2&gt;</w:t>
      </w:r>
      <w:r w:rsidRPr="00941D7C">
        <w:t>Article 8 – paragraph 2</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7CF9134E" w14:textId="77777777" w:rsidTr="00EE4038">
        <w:trPr>
          <w:jc w:val="center"/>
        </w:trPr>
        <w:tc>
          <w:tcPr>
            <w:tcW w:w="9752" w:type="dxa"/>
            <w:gridSpan w:val="2"/>
          </w:tcPr>
          <w:p w14:paraId="5AE77825" w14:textId="77777777" w:rsidR="00EE4038" w:rsidRPr="00941D7C" w:rsidRDefault="00EE4038">
            <w:pPr>
              <w:keepNext/>
            </w:pPr>
          </w:p>
        </w:tc>
      </w:tr>
      <w:tr w:rsidR="00EE4038" w:rsidRPr="00941D7C" w14:paraId="38E689B2" w14:textId="77777777" w:rsidTr="00EE4038">
        <w:trPr>
          <w:jc w:val="center"/>
        </w:trPr>
        <w:tc>
          <w:tcPr>
            <w:tcW w:w="4876" w:type="dxa"/>
            <w:hideMark/>
          </w:tcPr>
          <w:p w14:paraId="7A669ECE"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4DE72E42" w14:textId="77777777" w:rsidR="00EE4038" w:rsidRPr="00941D7C" w:rsidRDefault="00EE4038">
            <w:pPr>
              <w:pStyle w:val="ColumnHeading"/>
              <w:keepNext/>
              <w:rPr>
                <w:lang w:val="en-GB"/>
              </w:rPr>
            </w:pPr>
            <w:r w:rsidRPr="00941D7C">
              <w:rPr>
                <w:lang w:val="en-GB"/>
              </w:rPr>
              <w:t>Amendment</w:t>
            </w:r>
          </w:p>
        </w:tc>
      </w:tr>
      <w:tr w:rsidR="00EE4038" w:rsidRPr="00941D7C" w14:paraId="017741F8" w14:textId="77777777" w:rsidTr="00EE4038">
        <w:trPr>
          <w:jc w:val="center"/>
        </w:trPr>
        <w:tc>
          <w:tcPr>
            <w:tcW w:w="4876" w:type="dxa"/>
            <w:hideMark/>
          </w:tcPr>
          <w:p w14:paraId="7F3D44D5" w14:textId="77777777" w:rsidR="00EE4038" w:rsidRPr="00941D7C" w:rsidRDefault="00EE4038">
            <w:pPr>
              <w:pStyle w:val="Normal6"/>
              <w:rPr>
                <w:lang w:val="en-GB"/>
              </w:rPr>
            </w:pPr>
            <w:r w:rsidRPr="00941D7C">
              <w:rPr>
                <w:lang w:val="en-GB"/>
              </w:rPr>
              <w:t>(a)</w:t>
            </w:r>
            <w:r w:rsidRPr="00941D7C">
              <w:rPr>
                <w:lang w:val="en-GB"/>
              </w:rPr>
              <w:tab/>
            </w:r>
            <w:r w:rsidRPr="00941D7C">
              <w:rPr>
                <w:b/>
                <w:i/>
                <w:lang w:val="en-GB"/>
              </w:rPr>
              <w:t>in</w:t>
            </w:r>
            <w:r w:rsidRPr="00941D7C">
              <w:rPr>
                <w:lang w:val="en-GB"/>
              </w:rPr>
              <w:t xml:space="preserve"> paragraph 2</w:t>
            </w:r>
            <w:r w:rsidRPr="00941D7C">
              <w:rPr>
                <w:b/>
                <w:i/>
                <w:lang w:val="en-GB"/>
              </w:rPr>
              <w:t>, point (b)</w:t>
            </w:r>
            <w:r w:rsidRPr="00941D7C">
              <w:rPr>
                <w:lang w:val="en-GB"/>
              </w:rPr>
              <w:t xml:space="preserve"> is replaced by the following:</w:t>
            </w:r>
          </w:p>
        </w:tc>
        <w:tc>
          <w:tcPr>
            <w:tcW w:w="4876" w:type="dxa"/>
            <w:hideMark/>
          </w:tcPr>
          <w:p w14:paraId="6C86910B" w14:textId="77777777" w:rsidR="00EE4038" w:rsidRPr="00941D7C" w:rsidRDefault="00EE4038">
            <w:pPr>
              <w:pStyle w:val="Normal6"/>
              <w:rPr>
                <w:szCs w:val="24"/>
                <w:lang w:val="en-GB"/>
              </w:rPr>
            </w:pPr>
            <w:r w:rsidRPr="00941D7C">
              <w:rPr>
                <w:lang w:val="en-GB"/>
              </w:rPr>
              <w:t>(a)</w:t>
            </w:r>
            <w:r w:rsidRPr="00941D7C">
              <w:rPr>
                <w:lang w:val="en-GB"/>
              </w:rPr>
              <w:tab/>
              <w:t>paragraph 2 is replaced by the following:</w:t>
            </w:r>
          </w:p>
        </w:tc>
      </w:tr>
      <w:tr w:rsidR="00EE4038" w:rsidRPr="00941D7C" w14:paraId="05411A52" w14:textId="77777777" w:rsidTr="00EE4038">
        <w:trPr>
          <w:jc w:val="center"/>
        </w:trPr>
        <w:tc>
          <w:tcPr>
            <w:tcW w:w="4876" w:type="dxa"/>
            <w:hideMark/>
          </w:tcPr>
          <w:p w14:paraId="572A7B05" w14:textId="3477EA90" w:rsidR="00EE4038" w:rsidRPr="00941D7C" w:rsidRDefault="003A6169">
            <w:pPr>
              <w:pStyle w:val="Normal6"/>
              <w:rPr>
                <w:lang w:val="en-GB"/>
              </w:rPr>
            </w:pPr>
            <w:r w:rsidRPr="00941D7C">
              <w:rPr>
                <w:lang w:val="en-GB"/>
              </w:rPr>
              <w:t>'</w:t>
            </w:r>
            <w:r w:rsidR="00EE4038" w:rsidRPr="00941D7C">
              <w:rPr>
                <w:lang w:val="en-GB"/>
              </w:rPr>
              <w:t>(b)</w:t>
            </w:r>
            <w:r w:rsidR="00EE4038" w:rsidRPr="00941D7C">
              <w:rPr>
                <w:lang w:val="en-GB"/>
              </w:rPr>
              <w:tab/>
              <w:t xml:space="preserve">based on the results of the </w:t>
            </w:r>
            <w:r w:rsidR="00EE4038" w:rsidRPr="00941D7C">
              <w:rPr>
                <w:b/>
                <w:i/>
                <w:lang w:val="en-GB"/>
              </w:rPr>
              <w:t>mapping</w:t>
            </w:r>
            <w:r w:rsidR="00EE4038" w:rsidRPr="00941D7C">
              <w:rPr>
                <w:lang w:val="en-GB"/>
              </w:rPr>
              <w:t xml:space="preserve"> </w:t>
            </w:r>
            <w:r w:rsidR="00EE4038" w:rsidRPr="00941D7C">
              <w:rPr>
                <w:b/>
                <w:i/>
                <w:lang w:val="en-GB"/>
              </w:rPr>
              <w:t>as</w:t>
            </w:r>
            <w:r w:rsidR="00EE4038" w:rsidRPr="00941D7C">
              <w:rPr>
                <w:lang w:val="en-GB"/>
              </w:rPr>
              <w:t xml:space="preserve"> referred to in point (a), carry out </w:t>
            </w:r>
            <w:r w:rsidR="00EE4038" w:rsidRPr="00941D7C">
              <w:rPr>
                <w:b/>
                <w:i/>
                <w:lang w:val="en-GB"/>
              </w:rPr>
              <w:t>and in-depth</w:t>
            </w:r>
            <w:r w:rsidR="00EE4038" w:rsidRPr="00941D7C">
              <w:rPr>
                <w:lang w:val="en-GB"/>
              </w:rPr>
              <w:t xml:space="preserve"> assessment of their own operations, those of their subsidiaries and, where related to their chains of activities, those of their direct business partners, in the areas where adverse impacts were identified to be most likely to occur and most severe.</w:t>
            </w:r>
            <w:r w:rsidRPr="00941D7C">
              <w:rPr>
                <w:lang w:val="en-GB"/>
              </w:rPr>
              <w:t>'</w:t>
            </w:r>
            <w:r w:rsidR="00EE4038" w:rsidRPr="00941D7C">
              <w:rPr>
                <w:lang w:val="en-GB"/>
              </w:rPr>
              <w:t>;</w:t>
            </w:r>
          </w:p>
        </w:tc>
        <w:tc>
          <w:tcPr>
            <w:tcW w:w="4876" w:type="dxa"/>
            <w:hideMark/>
          </w:tcPr>
          <w:p w14:paraId="13BE43F0" w14:textId="77777777" w:rsidR="00EE4038" w:rsidRPr="00941D7C" w:rsidRDefault="00EE4038">
            <w:pPr>
              <w:pStyle w:val="Normal6"/>
              <w:rPr>
                <w:szCs w:val="24"/>
                <w:lang w:val="en-GB"/>
              </w:rPr>
            </w:pPr>
            <w:r w:rsidRPr="00941D7C">
              <w:rPr>
                <w:lang w:val="en-GB"/>
              </w:rPr>
              <w:t>‘</w:t>
            </w:r>
            <w:r w:rsidRPr="00941D7C">
              <w:rPr>
                <w:b/>
                <w:i/>
                <w:lang w:val="en-GB"/>
              </w:rPr>
              <w:t>2.</w:t>
            </w:r>
            <w:r w:rsidRPr="00941D7C">
              <w:rPr>
                <w:lang w:val="en-GB"/>
              </w:rPr>
              <w:tab/>
            </w:r>
            <w:r w:rsidRPr="00941D7C">
              <w:rPr>
                <w:b/>
                <w:i/>
                <w:lang w:val="en-GB"/>
              </w:rPr>
              <w:t xml:space="preserve">As part of the obligation set out in paragraph 1, and adopting a risk-based approach that </w:t>
            </w:r>
            <w:proofErr w:type="gramStart"/>
            <w:r w:rsidRPr="00941D7C">
              <w:rPr>
                <w:b/>
                <w:i/>
                <w:lang w:val="en-GB"/>
              </w:rPr>
              <w:t>takes into account</w:t>
            </w:r>
            <w:proofErr w:type="gramEnd"/>
            <w:r w:rsidRPr="00941D7C">
              <w:rPr>
                <w:b/>
                <w:i/>
                <w:lang w:val="en-GB"/>
              </w:rPr>
              <w:t xml:space="preserve"> relevant risk factors, including geographical and contextual risk factors, sectoral, product or service risk factors, as well as business operation or business partners risk factors, companies shall take appropriate measures to:</w:t>
            </w:r>
          </w:p>
        </w:tc>
      </w:tr>
      <w:tr w:rsidR="00EE4038" w:rsidRPr="00941D7C" w14:paraId="4DF026A1" w14:textId="77777777" w:rsidTr="00EE4038">
        <w:trPr>
          <w:jc w:val="center"/>
        </w:trPr>
        <w:tc>
          <w:tcPr>
            <w:tcW w:w="4876" w:type="dxa"/>
          </w:tcPr>
          <w:p w14:paraId="2D9B5DE2" w14:textId="77777777" w:rsidR="00EE4038" w:rsidRPr="00941D7C" w:rsidRDefault="00EE4038">
            <w:pPr>
              <w:pStyle w:val="Normal6"/>
              <w:rPr>
                <w:lang w:val="en-GB"/>
              </w:rPr>
            </w:pPr>
          </w:p>
        </w:tc>
        <w:tc>
          <w:tcPr>
            <w:tcW w:w="4876" w:type="dxa"/>
            <w:hideMark/>
          </w:tcPr>
          <w:p w14:paraId="3C6D7361" w14:textId="51CC85F0" w:rsidR="00EE4038" w:rsidRPr="00941D7C" w:rsidRDefault="00EE4038">
            <w:pPr>
              <w:pStyle w:val="Normal6"/>
              <w:rPr>
                <w:szCs w:val="24"/>
                <w:lang w:val="en-GB"/>
              </w:rPr>
            </w:pPr>
            <w:r w:rsidRPr="00941D7C">
              <w:rPr>
                <w:b/>
                <w:i/>
                <w:lang w:val="en-GB"/>
              </w:rPr>
              <w:t>(a)</w:t>
            </w:r>
            <w:r w:rsidRPr="00941D7C">
              <w:rPr>
                <w:lang w:val="en-GB"/>
              </w:rPr>
              <w:tab/>
            </w:r>
            <w:r w:rsidRPr="00941D7C">
              <w:rPr>
                <w:b/>
                <w:i/>
                <w:lang w:val="en-GB"/>
              </w:rPr>
              <w:t>carry out a scoping, based on reasonably available information, to identify general areas across their own operations, those of their subsidiaries and</w:t>
            </w:r>
            <w:r w:rsidR="00DD0B81" w:rsidRPr="00941D7C">
              <w:rPr>
                <w:b/>
                <w:i/>
                <w:lang w:val="en-GB"/>
              </w:rPr>
              <w:t>,</w:t>
            </w:r>
            <w:r w:rsidRPr="00941D7C">
              <w:rPr>
                <w:b/>
                <w:i/>
                <w:lang w:val="en-GB"/>
              </w:rPr>
              <w:t xml:space="preserve"> where related to their chain of activities</w:t>
            </w:r>
            <w:r w:rsidR="00DD0B81" w:rsidRPr="00941D7C">
              <w:rPr>
                <w:b/>
                <w:i/>
                <w:lang w:val="en-GB"/>
              </w:rPr>
              <w:t>,</w:t>
            </w:r>
            <w:r w:rsidRPr="00941D7C">
              <w:rPr>
                <w:b/>
                <w:i/>
                <w:lang w:val="en-GB"/>
              </w:rPr>
              <w:t xml:space="preserve"> those of their business partners where adverse impacts are most likely to occur and to be most severe;</w:t>
            </w:r>
          </w:p>
        </w:tc>
      </w:tr>
      <w:tr w:rsidR="00EE4038" w:rsidRPr="00941D7C" w14:paraId="038344AB" w14:textId="77777777" w:rsidTr="00EE4038">
        <w:trPr>
          <w:jc w:val="center"/>
        </w:trPr>
        <w:tc>
          <w:tcPr>
            <w:tcW w:w="4876" w:type="dxa"/>
          </w:tcPr>
          <w:p w14:paraId="1106D8E4" w14:textId="77777777" w:rsidR="00EE4038" w:rsidRPr="00941D7C" w:rsidRDefault="00EE4038">
            <w:pPr>
              <w:pStyle w:val="Normal6"/>
              <w:rPr>
                <w:lang w:val="en-GB"/>
              </w:rPr>
            </w:pPr>
          </w:p>
        </w:tc>
        <w:tc>
          <w:tcPr>
            <w:tcW w:w="4876" w:type="dxa"/>
            <w:hideMark/>
          </w:tcPr>
          <w:p w14:paraId="4EBB539B" w14:textId="05FDCFFE" w:rsidR="00EE4038" w:rsidRPr="00941D7C" w:rsidRDefault="00EE4038" w:rsidP="00DD0B81">
            <w:pPr>
              <w:pStyle w:val="Normal6"/>
              <w:rPr>
                <w:szCs w:val="24"/>
                <w:lang w:val="en-GB"/>
              </w:rPr>
            </w:pPr>
            <w:r w:rsidRPr="00941D7C">
              <w:rPr>
                <w:b/>
                <w:i/>
                <w:lang w:val="en-GB"/>
              </w:rPr>
              <w:t>(b)</w:t>
            </w:r>
            <w:r w:rsidRPr="00941D7C">
              <w:rPr>
                <w:lang w:val="en-GB"/>
              </w:rPr>
              <w:tab/>
              <w:t xml:space="preserve">based on the results of the </w:t>
            </w:r>
            <w:r w:rsidRPr="00941D7C">
              <w:rPr>
                <w:b/>
                <w:i/>
                <w:lang w:val="en-GB"/>
              </w:rPr>
              <w:t>scoping</w:t>
            </w:r>
            <w:r w:rsidRPr="00941D7C">
              <w:rPr>
                <w:lang w:val="en-GB"/>
              </w:rPr>
              <w:t xml:space="preserve"> referred to in point (a), carry out </w:t>
            </w:r>
            <w:r w:rsidRPr="00941D7C">
              <w:rPr>
                <w:b/>
                <w:i/>
                <w:lang w:val="en-GB"/>
              </w:rPr>
              <w:t>a further</w:t>
            </w:r>
            <w:r w:rsidRPr="00941D7C">
              <w:rPr>
                <w:lang w:val="en-GB"/>
              </w:rPr>
              <w:t xml:space="preserve"> assessment of their own operations, those of their subsidiaries and, where related to their chains of activities, those of their direct business partners, in the areas where adverse impacts were identified to be most likely to occur and most severe.’</w:t>
            </w:r>
            <w:r w:rsidR="00DD0B81" w:rsidRPr="00941D7C">
              <w:rPr>
                <w:lang w:val="en-GB"/>
              </w:rPr>
              <w:t>;</w:t>
            </w:r>
          </w:p>
        </w:tc>
      </w:tr>
    </w:tbl>
    <w:p w14:paraId="5DEE020D"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0ED193D4" w14:textId="77777777" w:rsidR="00EE4038" w:rsidRPr="00941D7C" w:rsidRDefault="00EE4038" w:rsidP="00EE4038">
      <w:r w:rsidRPr="00941D7C">
        <w:rPr>
          <w:rStyle w:val="HideTWBExt"/>
        </w:rPr>
        <w:t>&lt;/Amend&gt;</w:t>
      </w:r>
    </w:p>
    <w:p w14:paraId="1920DD19" w14:textId="7520E9DC"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62</w:t>
      </w:r>
      <w:r w:rsidRPr="00941D7C">
        <w:rPr>
          <w:rStyle w:val="HideTWBExt"/>
          <w:lang w:val="en-GB"/>
        </w:rPr>
        <w:t>&lt;/NumAm&gt;</w:t>
      </w:r>
    </w:p>
    <w:p w14:paraId="1CCEBA96"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41D8D04D"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4 – point b</w:t>
      </w:r>
      <w:r w:rsidRPr="008C7353">
        <w:rPr>
          <w:rStyle w:val="HideTWBExt"/>
          <w:lang w:val="fr-FR"/>
        </w:rPr>
        <w:t>&lt;/Article&gt;</w:t>
      </w:r>
    </w:p>
    <w:p w14:paraId="35BC0293" w14:textId="77777777" w:rsidR="00EE4038" w:rsidRPr="00941D7C" w:rsidRDefault="00EE4038" w:rsidP="00EE4038">
      <w:pPr>
        <w:keepNext/>
      </w:pPr>
      <w:r w:rsidRPr="00941D7C">
        <w:rPr>
          <w:rStyle w:val="HideTWBExt"/>
        </w:rPr>
        <w:t>&lt;DocAmend2&gt;</w:t>
      </w:r>
      <w:r w:rsidRPr="00941D7C">
        <w:t>Directive (EU) 2024/1760</w:t>
      </w:r>
      <w:r w:rsidRPr="00941D7C">
        <w:rPr>
          <w:rStyle w:val="HideTWBExt"/>
        </w:rPr>
        <w:t>&lt;/DocAmend2&gt;</w:t>
      </w:r>
    </w:p>
    <w:p w14:paraId="08BB8AC3" w14:textId="77777777" w:rsidR="00EE4038" w:rsidRPr="00941D7C" w:rsidRDefault="00EE4038" w:rsidP="00EE4038">
      <w:r w:rsidRPr="00941D7C">
        <w:rPr>
          <w:rStyle w:val="HideTWBExt"/>
        </w:rPr>
        <w:t>&lt;Article2&gt;</w:t>
      </w:r>
      <w:r w:rsidRPr="00941D7C">
        <w:t>Article 8 – paragraph 2a – subparagraph 1</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777D369B" w14:textId="77777777" w:rsidTr="00EE4038">
        <w:trPr>
          <w:jc w:val="center"/>
        </w:trPr>
        <w:tc>
          <w:tcPr>
            <w:tcW w:w="9752" w:type="dxa"/>
            <w:gridSpan w:val="2"/>
          </w:tcPr>
          <w:p w14:paraId="1DC707A6" w14:textId="77777777" w:rsidR="00EE4038" w:rsidRPr="00941D7C" w:rsidRDefault="00EE4038">
            <w:pPr>
              <w:keepNext/>
            </w:pPr>
          </w:p>
        </w:tc>
      </w:tr>
      <w:tr w:rsidR="00EE4038" w:rsidRPr="00941D7C" w14:paraId="434EB5FC" w14:textId="77777777" w:rsidTr="00EE4038">
        <w:trPr>
          <w:jc w:val="center"/>
        </w:trPr>
        <w:tc>
          <w:tcPr>
            <w:tcW w:w="4876" w:type="dxa"/>
            <w:hideMark/>
          </w:tcPr>
          <w:p w14:paraId="19A4C735"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617AE922" w14:textId="77777777" w:rsidR="00EE4038" w:rsidRPr="00941D7C" w:rsidRDefault="00EE4038">
            <w:pPr>
              <w:pStyle w:val="ColumnHeading"/>
              <w:keepNext/>
              <w:rPr>
                <w:lang w:val="en-GB"/>
              </w:rPr>
            </w:pPr>
            <w:r w:rsidRPr="00941D7C">
              <w:rPr>
                <w:lang w:val="en-GB"/>
              </w:rPr>
              <w:t>Amendment</w:t>
            </w:r>
          </w:p>
        </w:tc>
      </w:tr>
      <w:tr w:rsidR="00EE4038" w:rsidRPr="00941D7C" w14:paraId="41BC3AE5" w14:textId="77777777" w:rsidTr="00EE4038">
        <w:trPr>
          <w:jc w:val="center"/>
        </w:trPr>
        <w:tc>
          <w:tcPr>
            <w:tcW w:w="4876" w:type="dxa"/>
            <w:hideMark/>
          </w:tcPr>
          <w:p w14:paraId="3DA86F52" w14:textId="77777777" w:rsidR="00EE4038" w:rsidRPr="00941D7C" w:rsidRDefault="00EE4038">
            <w:pPr>
              <w:pStyle w:val="Normal6"/>
              <w:rPr>
                <w:lang w:val="en-GB"/>
              </w:rPr>
            </w:pPr>
            <w:r w:rsidRPr="00941D7C">
              <w:rPr>
                <w:lang w:val="en-GB"/>
              </w:rPr>
              <w:t xml:space="preserve">Where a company has plausible information that suggests that adverse impacts at the level of the operations of an indirect business partner have arisen or may arise, it shall carry out </w:t>
            </w:r>
            <w:r w:rsidRPr="00941D7C">
              <w:rPr>
                <w:b/>
                <w:i/>
                <w:lang w:val="en-GB"/>
              </w:rPr>
              <w:t>an in-depth</w:t>
            </w:r>
            <w:r w:rsidRPr="00941D7C">
              <w:rPr>
                <w:lang w:val="en-GB"/>
              </w:rPr>
              <w:t xml:space="preserve"> assessment. The company shall always carry out such an assessment where the indirect, rather than direct, nature of the relationship with the business partner is the result of an artificial arrangement that does not reflect economic reality but points to a circumvention of paragraph 2, point (b). Where the assessment confirms the likelihood or existence of the adverse impact, it is deemed to have been identified.</w:t>
            </w:r>
          </w:p>
        </w:tc>
        <w:tc>
          <w:tcPr>
            <w:tcW w:w="4876" w:type="dxa"/>
            <w:hideMark/>
          </w:tcPr>
          <w:p w14:paraId="01C3706A" w14:textId="77777777" w:rsidR="00EE4038" w:rsidRPr="00941D7C" w:rsidRDefault="00EE4038">
            <w:pPr>
              <w:pStyle w:val="Normal6"/>
              <w:rPr>
                <w:szCs w:val="24"/>
                <w:lang w:val="en-GB"/>
              </w:rPr>
            </w:pPr>
            <w:r w:rsidRPr="00941D7C">
              <w:rPr>
                <w:lang w:val="en-GB"/>
              </w:rPr>
              <w:t xml:space="preserve">Where a company has plausible information </w:t>
            </w:r>
            <w:r w:rsidRPr="00941D7C">
              <w:rPr>
                <w:b/>
                <w:i/>
                <w:lang w:val="en-GB"/>
              </w:rPr>
              <w:t>that is objective, factual and verifiable and</w:t>
            </w:r>
            <w:r w:rsidRPr="00941D7C">
              <w:rPr>
                <w:lang w:val="en-GB"/>
              </w:rPr>
              <w:t xml:space="preserve"> that suggests that adverse impacts at the level of the operations of an indirect business partner have arisen or may arise, it shall carry out </w:t>
            </w:r>
            <w:r w:rsidRPr="00941D7C">
              <w:rPr>
                <w:b/>
                <w:i/>
                <w:lang w:val="en-GB"/>
              </w:rPr>
              <w:t>a further</w:t>
            </w:r>
            <w:r w:rsidRPr="00941D7C">
              <w:rPr>
                <w:lang w:val="en-GB"/>
              </w:rPr>
              <w:t xml:space="preserve"> assessment. The company shall always carry out such an assessment where the indirect, rather than direct, nature of the relationship with the business partner is the result of an artificial arrangement that does not reflect economic reality but points to a circumvention of paragraph 2, point (b). Where the assessment confirms the likelihood or existence of the adverse impact, it is deemed to have been identified.</w:t>
            </w:r>
          </w:p>
        </w:tc>
      </w:tr>
    </w:tbl>
    <w:p w14:paraId="6D2C395C"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54A16AEB" w14:textId="77777777" w:rsidR="00EE4038" w:rsidRPr="00941D7C" w:rsidRDefault="00EE4038" w:rsidP="00EE4038">
      <w:r w:rsidRPr="00941D7C">
        <w:rPr>
          <w:rStyle w:val="HideTWBExt"/>
        </w:rPr>
        <w:t>&lt;/Amend&gt;</w:t>
      </w:r>
    </w:p>
    <w:p w14:paraId="4F8F93CF" w14:textId="0AB88BAB"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63</w:t>
      </w:r>
      <w:r w:rsidRPr="00941D7C">
        <w:rPr>
          <w:rStyle w:val="HideTWBExt"/>
          <w:lang w:val="en-GB"/>
        </w:rPr>
        <w:t>&lt;/NumAm&gt;</w:t>
      </w:r>
    </w:p>
    <w:p w14:paraId="52264F41"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22BB4F66"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4 – point b</w:t>
      </w:r>
      <w:r w:rsidRPr="008C7353">
        <w:rPr>
          <w:rStyle w:val="HideTWBExt"/>
          <w:lang w:val="fr-FR"/>
        </w:rPr>
        <w:t>&lt;/Article&gt;</w:t>
      </w:r>
    </w:p>
    <w:p w14:paraId="06E1CD48" w14:textId="77777777" w:rsidR="00EE4038" w:rsidRPr="00941D7C" w:rsidRDefault="00EE4038" w:rsidP="00EE4038">
      <w:pPr>
        <w:keepNext/>
      </w:pPr>
      <w:r w:rsidRPr="00941D7C">
        <w:rPr>
          <w:rStyle w:val="HideTWBExt"/>
        </w:rPr>
        <w:t>&lt;DocAmend2&gt;</w:t>
      </w:r>
      <w:r w:rsidRPr="00941D7C">
        <w:t>Directive (EU) 2024/1760</w:t>
      </w:r>
      <w:r w:rsidRPr="00941D7C">
        <w:rPr>
          <w:rStyle w:val="HideTWBExt"/>
        </w:rPr>
        <w:t>&lt;/DocAmend2&gt;</w:t>
      </w:r>
    </w:p>
    <w:p w14:paraId="1F8CF2BD" w14:textId="77777777" w:rsidR="00EE4038" w:rsidRPr="00941D7C" w:rsidRDefault="00EE4038" w:rsidP="00EE4038">
      <w:r w:rsidRPr="00941D7C">
        <w:rPr>
          <w:rStyle w:val="HideTWBExt"/>
        </w:rPr>
        <w:t>&lt;Article2&gt;</w:t>
      </w:r>
      <w:r w:rsidRPr="00941D7C">
        <w:t>Article 8 – paragraph 2a – subparagraph 3</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742849C0" w14:textId="77777777" w:rsidTr="00EE4038">
        <w:trPr>
          <w:jc w:val="center"/>
        </w:trPr>
        <w:tc>
          <w:tcPr>
            <w:tcW w:w="9752" w:type="dxa"/>
            <w:gridSpan w:val="2"/>
          </w:tcPr>
          <w:p w14:paraId="7D48FD3F" w14:textId="77777777" w:rsidR="00EE4038" w:rsidRPr="00941D7C" w:rsidRDefault="00EE4038">
            <w:pPr>
              <w:keepNext/>
            </w:pPr>
          </w:p>
        </w:tc>
      </w:tr>
      <w:tr w:rsidR="00EE4038" w:rsidRPr="00941D7C" w14:paraId="159AF39C" w14:textId="77777777" w:rsidTr="00EE4038">
        <w:trPr>
          <w:jc w:val="center"/>
        </w:trPr>
        <w:tc>
          <w:tcPr>
            <w:tcW w:w="4876" w:type="dxa"/>
            <w:hideMark/>
          </w:tcPr>
          <w:p w14:paraId="48A2524C"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163BF7B7" w14:textId="77777777" w:rsidR="00EE4038" w:rsidRPr="00941D7C" w:rsidRDefault="00EE4038">
            <w:pPr>
              <w:pStyle w:val="ColumnHeading"/>
              <w:keepNext/>
              <w:rPr>
                <w:lang w:val="en-GB"/>
              </w:rPr>
            </w:pPr>
            <w:r w:rsidRPr="00941D7C">
              <w:rPr>
                <w:lang w:val="en-GB"/>
              </w:rPr>
              <w:t>Amendment</w:t>
            </w:r>
          </w:p>
        </w:tc>
      </w:tr>
      <w:tr w:rsidR="00EE4038" w:rsidRPr="00941D7C" w14:paraId="6E44FD3E" w14:textId="77777777" w:rsidTr="00EE4038">
        <w:trPr>
          <w:jc w:val="center"/>
        </w:trPr>
        <w:tc>
          <w:tcPr>
            <w:tcW w:w="4876" w:type="dxa"/>
            <w:hideMark/>
          </w:tcPr>
          <w:p w14:paraId="74807020" w14:textId="64D2E494" w:rsidR="00EE4038" w:rsidRPr="00941D7C" w:rsidRDefault="00EE4038">
            <w:pPr>
              <w:pStyle w:val="Normal6"/>
              <w:rPr>
                <w:lang w:val="en-GB"/>
              </w:rPr>
            </w:pPr>
            <w:r w:rsidRPr="00941D7C">
              <w:rPr>
                <w:b/>
                <w:i/>
                <w:lang w:val="en-GB"/>
              </w:rPr>
              <w:t>Notwithstanding the first subparagraph, irrespective of whether plausible information is available about indirect business partners, a company shall seek contractual assurances from a direct business partner that that business partner will ensure compliance with the company’s code of conduct by establishing corresponding contractual assurances from its business partners. Article 10(2), points (b) and (e) shall apply accordingly.</w:t>
            </w:r>
          </w:p>
        </w:tc>
        <w:tc>
          <w:tcPr>
            <w:tcW w:w="4876" w:type="dxa"/>
            <w:hideMark/>
          </w:tcPr>
          <w:p w14:paraId="7E5A6E43" w14:textId="77777777" w:rsidR="00EE4038" w:rsidRPr="00941D7C" w:rsidRDefault="00EE4038">
            <w:pPr>
              <w:pStyle w:val="Normal6"/>
              <w:rPr>
                <w:szCs w:val="24"/>
                <w:lang w:val="en-GB"/>
              </w:rPr>
            </w:pPr>
            <w:r w:rsidRPr="00941D7C">
              <w:rPr>
                <w:b/>
                <w:i/>
                <w:lang w:val="en-GB"/>
              </w:rPr>
              <w:t>deleted</w:t>
            </w:r>
          </w:p>
        </w:tc>
      </w:tr>
    </w:tbl>
    <w:p w14:paraId="67B42BEE"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060645C5" w14:textId="77777777" w:rsidR="00EE4038" w:rsidRPr="00941D7C" w:rsidRDefault="00EE4038" w:rsidP="00EE4038">
      <w:r w:rsidRPr="00941D7C">
        <w:rPr>
          <w:rStyle w:val="HideTWBExt"/>
        </w:rPr>
        <w:t>&lt;/Amend&gt;</w:t>
      </w:r>
    </w:p>
    <w:p w14:paraId="39AF5728" w14:textId="0997EA38"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64</w:t>
      </w:r>
      <w:r w:rsidRPr="00941D7C">
        <w:rPr>
          <w:rStyle w:val="HideTWBExt"/>
          <w:lang w:val="en-GB"/>
        </w:rPr>
        <w:t>&lt;/NumAm&gt;</w:t>
      </w:r>
    </w:p>
    <w:p w14:paraId="16AF630A"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61773160"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4 – point c</w:t>
      </w:r>
      <w:r w:rsidRPr="008C7353">
        <w:rPr>
          <w:rStyle w:val="HideTWBExt"/>
          <w:lang w:val="fr-FR"/>
        </w:rPr>
        <w:t>&lt;/Article&gt;</w:t>
      </w:r>
    </w:p>
    <w:p w14:paraId="34AE194D" w14:textId="77777777" w:rsidR="00EE4038" w:rsidRPr="00941D7C" w:rsidRDefault="00EE4038" w:rsidP="00EE4038">
      <w:pPr>
        <w:keepNext/>
      </w:pPr>
      <w:r w:rsidRPr="00941D7C">
        <w:rPr>
          <w:rStyle w:val="HideTWBExt"/>
        </w:rPr>
        <w:t>&lt;DocAmend2&gt;</w:t>
      </w:r>
      <w:r w:rsidRPr="00941D7C">
        <w:t>Directive (EU) 2024/1760</w:t>
      </w:r>
      <w:r w:rsidRPr="00941D7C">
        <w:rPr>
          <w:rStyle w:val="HideTWBExt"/>
        </w:rPr>
        <w:t>&lt;/DocAmend2&gt;</w:t>
      </w:r>
    </w:p>
    <w:p w14:paraId="160D6841" w14:textId="77777777" w:rsidR="00EE4038" w:rsidRPr="00941D7C" w:rsidRDefault="00EE4038" w:rsidP="00EE4038">
      <w:r w:rsidRPr="00941D7C">
        <w:rPr>
          <w:rStyle w:val="HideTWBExt"/>
        </w:rPr>
        <w:t>&lt;Article2&gt;</w:t>
      </w:r>
      <w:r w:rsidRPr="00941D7C">
        <w:t>Article 8 – paragraph 4</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19008E5A" w14:textId="77777777" w:rsidTr="00EE4038">
        <w:trPr>
          <w:jc w:val="center"/>
        </w:trPr>
        <w:tc>
          <w:tcPr>
            <w:tcW w:w="9752" w:type="dxa"/>
            <w:gridSpan w:val="2"/>
          </w:tcPr>
          <w:p w14:paraId="1B6551D1" w14:textId="77777777" w:rsidR="00EE4038" w:rsidRPr="00941D7C" w:rsidRDefault="00EE4038">
            <w:pPr>
              <w:keepNext/>
            </w:pPr>
          </w:p>
        </w:tc>
      </w:tr>
      <w:tr w:rsidR="00EE4038" w:rsidRPr="00941D7C" w14:paraId="19A5CB3F" w14:textId="77777777" w:rsidTr="00EE4038">
        <w:trPr>
          <w:jc w:val="center"/>
        </w:trPr>
        <w:tc>
          <w:tcPr>
            <w:tcW w:w="4876" w:type="dxa"/>
            <w:hideMark/>
          </w:tcPr>
          <w:p w14:paraId="4561DADA"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5615B3F6" w14:textId="77777777" w:rsidR="00EE4038" w:rsidRPr="00941D7C" w:rsidRDefault="00EE4038">
            <w:pPr>
              <w:pStyle w:val="ColumnHeading"/>
              <w:keepNext/>
              <w:rPr>
                <w:lang w:val="en-GB"/>
              </w:rPr>
            </w:pPr>
            <w:r w:rsidRPr="00941D7C">
              <w:rPr>
                <w:lang w:val="en-GB"/>
              </w:rPr>
              <w:t>Amendment</w:t>
            </w:r>
          </w:p>
        </w:tc>
      </w:tr>
      <w:tr w:rsidR="00EE4038" w:rsidRPr="00941D7C" w14:paraId="5290DDEA" w14:textId="77777777" w:rsidTr="00EE4038">
        <w:trPr>
          <w:jc w:val="center"/>
        </w:trPr>
        <w:tc>
          <w:tcPr>
            <w:tcW w:w="4876" w:type="dxa"/>
            <w:hideMark/>
          </w:tcPr>
          <w:p w14:paraId="0872F26D" w14:textId="77777777" w:rsidR="00EE4038" w:rsidRPr="00941D7C" w:rsidRDefault="00EE4038">
            <w:pPr>
              <w:pStyle w:val="Normal6"/>
              <w:rPr>
                <w:lang w:val="en-GB"/>
              </w:rPr>
            </w:pPr>
            <w:r w:rsidRPr="00941D7C">
              <w:rPr>
                <w:lang w:val="en-GB"/>
              </w:rPr>
              <w:t>(c)</w:t>
            </w:r>
            <w:r w:rsidRPr="00941D7C">
              <w:rPr>
                <w:lang w:val="en-GB"/>
              </w:rPr>
              <w:tab/>
              <w:t xml:space="preserve">paragraph 4 is </w:t>
            </w:r>
            <w:r w:rsidRPr="00941D7C">
              <w:rPr>
                <w:b/>
                <w:i/>
                <w:lang w:val="en-GB"/>
              </w:rPr>
              <w:t>replaced by the following:</w:t>
            </w:r>
          </w:p>
        </w:tc>
        <w:tc>
          <w:tcPr>
            <w:tcW w:w="4876" w:type="dxa"/>
            <w:hideMark/>
          </w:tcPr>
          <w:p w14:paraId="3CCAFE77" w14:textId="77777777" w:rsidR="00EE4038" w:rsidRPr="00941D7C" w:rsidRDefault="00EE4038">
            <w:pPr>
              <w:pStyle w:val="Normal6"/>
              <w:rPr>
                <w:szCs w:val="24"/>
                <w:lang w:val="en-GB"/>
              </w:rPr>
            </w:pPr>
            <w:r w:rsidRPr="00941D7C">
              <w:rPr>
                <w:lang w:val="en-GB"/>
              </w:rPr>
              <w:t>(c)</w:t>
            </w:r>
            <w:r w:rsidRPr="00941D7C">
              <w:rPr>
                <w:lang w:val="en-GB"/>
              </w:rPr>
              <w:tab/>
              <w:t xml:space="preserve">paragraph 4 is </w:t>
            </w:r>
            <w:r w:rsidRPr="00941D7C">
              <w:rPr>
                <w:b/>
                <w:i/>
                <w:lang w:val="en-GB"/>
              </w:rPr>
              <w:t>deleted;</w:t>
            </w:r>
          </w:p>
        </w:tc>
      </w:tr>
      <w:tr w:rsidR="00EE4038" w:rsidRPr="00941D7C" w14:paraId="0D31464D" w14:textId="77777777" w:rsidTr="00EE4038">
        <w:trPr>
          <w:jc w:val="center"/>
        </w:trPr>
        <w:tc>
          <w:tcPr>
            <w:tcW w:w="4876" w:type="dxa"/>
            <w:hideMark/>
          </w:tcPr>
          <w:p w14:paraId="1A9E4D2D" w14:textId="3E78EF5B" w:rsidR="00EE4038" w:rsidRPr="00941D7C" w:rsidRDefault="003A6169">
            <w:pPr>
              <w:pStyle w:val="Normal6"/>
              <w:rPr>
                <w:lang w:val="en-GB"/>
              </w:rPr>
            </w:pPr>
            <w:r w:rsidRPr="00941D7C">
              <w:rPr>
                <w:b/>
                <w:i/>
                <w:lang w:val="en-GB"/>
              </w:rPr>
              <w:t>'</w:t>
            </w:r>
            <w:r w:rsidR="00EE4038" w:rsidRPr="00941D7C">
              <w:rPr>
                <w:b/>
                <w:i/>
                <w:lang w:val="en-GB"/>
              </w:rPr>
              <w:t>4.</w:t>
            </w:r>
            <w:r w:rsidR="00EE4038" w:rsidRPr="00941D7C">
              <w:rPr>
                <w:b/>
                <w:i/>
                <w:lang w:val="en-GB"/>
              </w:rPr>
              <w:tab/>
              <w:t>Where information necessary for the in-depth assessment provided for in paragraph 2, point (b), and in paragraph 2a can be obtained from different business partners, the company shall prioritise requesting such information, where reasonable, directly from the business partner or partners where the adverse impacts are most likely to occur.</w:t>
            </w:r>
            <w:r w:rsidRPr="00941D7C">
              <w:rPr>
                <w:b/>
                <w:i/>
                <w:lang w:val="en-GB"/>
              </w:rPr>
              <w:t>'</w:t>
            </w:r>
            <w:r w:rsidR="00EE4038" w:rsidRPr="00941D7C">
              <w:rPr>
                <w:b/>
                <w:i/>
                <w:lang w:val="en-GB"/>
              </w:rPr>
              <w:t>;</w:t>
            </w:r>
          </w:p>
        </w:tc>
        <w:tc>
          <w:tcPr>
            <w:tcW w:w="4876" w:type="dxa"/>
          </w:tcPr>
          <w:p w14:paraId="460371CB" w14:textId="77777777" w:rsidR="00EE4038" w:rsidRPr="00941D7C" w:rsidRDefault="00EE4038">
            <w:pPr>
              <w:pStyle w:val="Normal6"/>
              <w:rPr>
                <w:lang w:val="en-GB"/>
              </w:rPr>
            </w:pPr>
          </w:p>
        </w:tc>
      </w:tr>
    </w:tbl>
    <w:p w14:paraId="3662AB60"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02554C95" w14:textId="77777777" w:rsidR="00EE4038" w:rsidRPr="00941D7C" w:rsidRDefault="00EE4038" w:rsidP="00EE4038">
      <w:r w:rsidRPr="00941D7C">
        <w:rPr>
          <w:rStyle w:val="HideTWBExt"/>
        </w:rPr>
        <w:t>&lt;/Amend&gt;</w:t>
      </w:r>
    </w:p>
    <w:p w14:paraId="1D67A747" w14:textId="240121C4"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65</w:t>
      </w:r>
      <w:r w:rsidRPr="00941D7C">
        <w:rPr>
          <w:rStyle w:val="HideTWBExt"/>
          <w:lang w:val="en-GB"/>
        </w:rPr>
        <w:t>&lt;/NumAm&gt;</w:t>
      </w:r>
    </w:p>
    <w:p w14:paraId="2C891CA6"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231CCC38"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4 – point d</w:t>
      </w:r>
      <w:r w:rsidRPr="008C7353">
        <w:rPr>
          <w:rStyle w:val="HideTWBExt"/>
          <w:lang w:val="fr-FR"/>
        </w:rPr>
        <w:t>&lt;/Article&gt;</w:t>
      </w:r>
    </w:p>
    <w:p w14:paraId="22D357DD" w14:textId="77777777" w:rsidR="00EE4038" w:rsidRPr="008C7353" w:rsidRDefault="00EE4038" w:rsidP="00EE4038">
      <w:pPr>
        <w:keepNext/>
        <w:rPr>
          <w:lang w:val="fr-FR"/>
        </w:rPr>
      </w:pPr>
      <w:r w:rsidRPr="008C7353">
        <w:rPr>
          <w:rStyle w:val="HideTWBExt"/>
          <w:lang w:val="fr-FR"/>
        </w:rPr>
        <w:t>&lt;DocAmend2&gt;</w:t>
      </w:r>
      <w:r w:rsidRPr="008C7353">
        <w:rPr>
          <w:lang w:val="fr-FR"/>
        </w:rPr>
        <w:t>Directive (EU) 2024/1760</w:t>
      </w:r>
      <w:r w:rsidRPr="008C7353">
        <w:rPr>
          <w:rStyle w:val="HideTWBExt"/>
          <w:lang w:val="fr-FR"/>
        </w:rPr>
        <w:t>&lt;/DocAmend2&gt;</w:t>
      </w:r>
    </w:p>
    <w:p w14:paraId="20DE72C2" w14:textId="640E0231" w:rsidR="00EE4038" w:rsidRPr="008C7353" w:rsidRDefault="00EE4038" w:rsidP="00EE4038">
      <w:pPr>
        <w:rPr>
          <w:lang w:val="fr-FR"/>
        </w:rPr>
      </w:pPr>
      <w:r w:rsidRPr="008C7353">
        <w:rPr>
          <w:rStyle w:val="HideTWBExt"/>
          <w:lang w:val="fr-FR"/>
        </w:rPr>
        <w:t>&lt;Article2&gt;</w:t>
      </w:r>
      <w:r w:rsidRPr="008C7353">
        <w:rPr>
          <w:lang w:val="fr-FR"/>
        </w:rPr>
        <w:t>Art</w:t>
      </w:r>
      <w:r w:rsidR="00E17194" w:rsidRPr="008C7353">
        <w:rPr>
          <w:lang w:val="fr-FR"/>
        </w:rPr>
        <w:t>i</w:t>
      </w:r>
      <w:r w:rsidRPr="008C7353">
        <w:rPr>
          <w:lang w:val="fr-FR"/>
        </w:rPr>
        <w:t>cle 8 – paragraph</w:t>
      </w:r>
      <w:r w:rsidR="00E84907" w:rsidRPr="008C7353">
        <w:rPr>
          <w:lang w:val="fr-FR"/>
        </w:rPr>
        <w:t xml:space="preserve"> 5</w:t>
      </w:r>
      <w:r w:rsidRPr="008C7353">
        <w:rPr>
          <w:lang w:val="fr-FR"/>
        </w:rPr>
        <w:t xml:space="preserve"> </w:t>
      </w:r>
      <w:r w:rsidR="00E84907" w:rsidRPr="008C7353">
        <w:rPr>
          <w:lang w:val="fr-FR"/>
        </w:rPr>
        <w:t>– subparagraph 1</w:t>
      </w:r>
      <w:r w:rsidRPr="008C7353">
        <w:rPr>
          <w:rStyle w:val="HideTWBExt"/>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8C7353" w14:paraId="4542003B" w14:textId="77777777" w:rsidTr="007C3CBA">
        <w:trPr>
          <w:jc w:val="center"/>
        </w:trPr>
        <w:tc>
          <w:tcPr>
            <w:tcW w:w="9752" w:type="dxa"/>
            <w:gridSpan w:val="2"/>
          </w:tcPr>
          <w:p w14:paraId="10E53C2B" w14:textId="77777777" w:rsidR="00EE4038" w:rsidRPr="008C7353" w:rsidRDefault="00EE4038">
            <w:pPr>
              <w:keepNext/>
              <w:rPr>
                <w:lang w:val="fr-FR"/>
              </w:rPr>
            </w:pPr>
          </w:p>
        </w:tc>
      </w:tr>
      <w:tr w:rsidR="00EE4038" w:rsidRPr="00941D7C" w14:paraId="32A4C20C" w14:textId="77777777" w:rsidTr="007C3CBA">
        <w:trPr>
          <w:jc w:val="center"/>
        </w:trPr>
        <w:tc>
          <w:tcPr>
            <w:tcW w:w="4876" w:type="dxa"/>
            <w:hideMark/>
          </w:tcPr>
          <w:p w14:paraId="100FC3A2"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47D0DC6B" w14:textId="77777777" w:rsidR="00EE4038" w:rsidRPr="00941D7C" w:rsidRDefault="00EE4038">
            <w:pPr>
              <w:pStyle w:val="ColumnHeading"/>
              <w:keepNext/>
              <w:rPr>
                <w:lang w:val="en-GB"/>
              </w:rPr>
            </w:pPr>
            <w:r w:rsidRPr="00941D7C">
              <w:rPr>
                <w:lang w:val="en-GB"/>
              </w:rPr>
              <w:t>Amendment</w:t>
            </w:r>
          </w:p>
        </w:tc>
      </w:tr>
      <w:tr w:rsidR="00EE4038" w:rsidRPr="00941D7C" w14:paraId="4F8482E3" w14:textId="77777777" w:rsidTr="007C3CBA">
        <w:trPr>
          <w:jc w:val="center"/>
        </w:trPr>
        <w:tc>
          <w:tcPr>
            <w:tcW w:w="4876" w:type="dxa"/>
            <w:hideMark/>
          </w:tcPr>
          <w:p w14:paraId="75B523A4" w14:textId="77777777" w:rsidR="00EE4038" w:rsidRPr="00941D7C" w:rsidRDefault="00EE4038">
            <w:pPr>
              <w:pStyle w:val="Normal6"/>
              <w:rPr>
                <w:lang w:val="en-GB"/>
              </w:rPr>
            </w:pPr>
            <w:r w:rsidRPr="00941D7C">
              <w:rPr>
                <w:lang w:val="en-GB"/>
              </w:rPr>
              <w:t>(d)</w:t>
            </w:r>
            <w:r w:rsidRPr="00941D7C">
              <w:rPr>
                <w:lang w:val="en-GB"/>
              </w:rPr>
              <w:tab/>
              <w:t xml:space="preserve">the following </w:t>
            </w:r>
            <w:r w:rsidRPr="00941D7C">
              <w:rPr>
                <w:b/>
                <w:i/>
                <w:lang w:val="en-GB"/>
              </w:rPr>
              <w:t>paragraph 5 is</w:t>
            </w:r>
            <w:r w:rsidRPr="00941D7C">
              <w:rPr>
                <w:lang w:val="en-GB"/>
              </w:rPr>
              <w:t xml:space="preserve"> added:</w:t>
            </w:r>
          </w:p>
        </w:tc>
        <w:tc>
          <w:tcPr>
            <w:tcW w:w="4876" w:type="dxa"/>
            <w:hideMark/>
          </w:tcPr>
          <w:p w14:paraId="41255040" w14:textId="77777777" w:rsidR="00EE4038" w:rsidRPr="00941D7C" w:rsidRDefault="00EE4038">
            <w:pPr>
              <w:pStyle w:val="Normal6"/>
              <w:rPr>
                <w:szCs w:val="24"/>
                <w:lang w:val="en-GB"/>
              </w:rPr>
            </w:pPr>
            <w:r w:rsidRPr="00941D7C">
              <w:rPr>
                <w:lang w:val="en-GB"/>
              </w:rPr>
              <w:t>(d)</w:t>
            </w:r>
            <w:r w:rsidRPr="00941D7C">
              <w:rPr>
                <w:lang w:val="en-GB"/>
              </w:rPr>
              <w:tab/>
              <w:t xml:space="preserve">the following </w:t>
            </w:r>
            <w:r w:rsidRPr="00941D7C">
              <w:rPr>
                <w:b/>
                <w:i/>
                <w:lang w:val="en-GB"/>
              </w:rPr>
              <w:t>paragraphs are</w:t>
            </w:r>
            <w:r w:rsidRPr="00941D7C">
              <w:rPr>
                <w:lang w:val="en-GB"/>
              </w:rPr>
              <w:t xml:space="preserve"> added:</w:t>
            </w:r>
          </w:p>
        </w:tc>
      </w:tr>
      <w:tr w:rsidR="00EE4038" w:rsidRPr="00941D7C" w14:paraId="31BA3DEB" w14:textId="77777777" w:rsidTr="007C3CBA">
        <w:trPr>
          <w:jc w:val="center"/>
        </w:trPr>
        <w:tc>
          <w:tcPr>
            <w:tcW w:w="4876" w:type="dxa"/>
            <w:hideMark/>
          </w:tcPr>
          <w:p w14:paraId="299E1DED" w14:textId="6DD4D25C" w:rsidR="00EE4038" w:rsidRPr="00941D7C" w:rsidRDefault="003A6169">
            <w:pPr>
              <w:pStyle w:val="Normal6"/>
              <w:rPr>
                <w:lang w:val="en-GB"/>
              </w:rPr>
            </w:pPr>
            <w:r w:rsidRPr="00941D7C">
              <w:rPr>
                <w:lang w:val="en-GB"/>
              </w:rPr>
              <w:t>'5.</w:t>
            </w:r>
            <w:r w:rsidRPr="00941D7C">
              <w:rPr>
                <w:lang w:val="en-GB"/>
              </w:rPr>
              <w:tab/>
            </w:r>
            <w:r w:rsidR="00EE4038" w:rsidRPr="00941D7C">
              <w:rPr>
                <w:lang w:val="en-GB"/>
              </w:rPr>
              <w:t xml:space="preserve">Member States shall ensure that, for the </w:t>
            </w:r>
            <w:r w:rsidR="00EE4038" w:rsidRPr="00941D7C">
              <w:rPr>
                <w:b/>
                <w:i/>
                <w:lang w:val="en-GB"/>
              </w:rPr>
              <w:t>mapping</w:t>
            </w:r>
            <w:r w:rsidR="00EE4038" w:rsidRPr="00941D7C">
              <w:rPr>
                <w:lang w:val="en-GB"/>
              </w:rPr>
              <w:t xml:space="preserve"> provided for in paragraph 2</w:t>
            </w:r>
            <w:r w:rsidR="00EE4038" w:rsidRPr="00941D7C">
              <w:rPr>
                <w:b/>
                <w:i/>
                <w:lang w:val="en-GB"/>
              </w:rPr>
              <w:t>,</w:t>
            </w:r>
            <w:r w:rsidR="00EE4038" w:rsidRPr="00941D7C">
              <w:rPr>
                <w:lang w:val="en-GB"/>
              </w:rPr>
              <w:t xml:space="preserve"> point (a), companies do not seek to obtain information from </w:t>
            </w:r>
            <w:r w:rsidR="00EE4038" w:rsidRPr="00941D7C">
              <w:rPr>
                <w:b/>
                <w:i/>
                <w:lang w:val="en-GB"/>
              </w:rPr>
              <w:t>direct</w:t>
            </w:r>
            <w:r w:rsidR="00EE4038" w:rsidRPr="00941D7C">
              <w:rPr>
                <w:lang w:val="en-GB"/>
              </w:rPr>
              <w:t xml:space="preserve"> business partners </w:t>
            </w:r>
            <w:r w:rsidR="00EE4038" w:rsidRPr="00941D7C">
              <w:rPr>
                <w:b/>
                <w:i/>
                <w:lang w:val="en-GB"/>
              </w:rPr>
              <w:t>with fewer than 500 employees that exceeds the</w:t>
            </w:r>
            <w:r w:rsidR="00EE4038" w:rsidRPr="00941D7C">
              <w:rPr>
                <w:lang w:val="en-GB"/>
              </w:rPr>
              <w:t xml:space="preserve"> information </w:t>
            </w:r>
            <w:r w:rsidR="00EE4038" w:rsidRPr="00941D7C">
              <w:rPr>
                <w:b/>
                <w:i/>
                <w:lang w:val="en-GB"/>
              </w:rPr>
              <w:t>specified in the standards for voluntary use referred to in Article 29a of Directive 2013/34/EU</w:t>
            </w:r>
            <w:r w:rsidR="00EE4038" w:rsidRPr="00941D7C">
              <w:rPr>
                <w:lang w:val="en-GB"/>
              </w:rPr>
              <w:t>.</w:t>
            </w:r>
          </w:p>
        </w:tc>
        <w:tc>
          <w:tcPr>
            <w:tcW w:w="4876" w:type="dxa"/>
            <w:hideMark/>
          </w:tcPr>
          <w:p w14:paraId="31EED04F" w14:textId="08770E69" w:rsidR="00EE4038" w:rsidRPr="00941D7C" w:rsidRDefault="00EE4038" w:rsidP="00E17194">
            <w:pPr>
              <w:pStyle w:val="Normal6"/>
              <w:rPr>
                <w:szCs w:val="24"/>
                <w:lang w:val="en-GB"/>
              </w:rPr>
            </w:pPr>
            <w:r w:rsidRPr="00941D7C">
              <w:rPr>
                <w:b/>
                <w:i/>
                <w:lang w:val="en-GB"/>
              </w:rPr>
              <w:t>‘</w:t>
            </w:r>
            <w:r w:rsidR="00E17194" w:rsidRPr="00941D7C">
              <w:rPr>
                <w:b/>
                <w:i/>
                <w:lang w:val="en-GB"/>
              </w:rPr>
              <w:t>5</w:t>
            </w:r>
            <w:r w:rsidRPr="00941D7C">
              <w:rPr>
                <w:b/>
                <w:i/>
                <w:lang w:val="en-GB"/>
              </w:rPr>
              <w:t>.</w:t>
            </w:r>
            <w:r w:rsidRPr="00941D7C">
              <w:rPr>
                <w:lang w:val="en-GB"/>
              </w:rPr>
              <w:tab/>
              <w:t xml:space="preserve">Member States shall ensure that, for the </w:t>
            </w:r>
            <w:r w:rsidRPr="00941D7C">
              <w:rPr>
                <w:b/>
                <w:i/>
                <w:lang w:val="en-GB"/>
              </w:rPr>
              <w:t>purposes of the scoping</w:t>
            </w:r>
            <w:r w:rsidRPr="00941D7C">
              <w:rPr>
                <w:lang w:val="en-GB"/>
              </w:rPr>
              <w:t xml:space="preserve"> provided for in paragraph 2 point (a), companies do not seek to obtain </w:t>
            </w:r>
            <w:r w:rsidRPr="00941D7C">
              <w:rPr>
                <w:b/>
                <w:i/>
                <w:lang w:val="en-GB"/>
              </w:rPr>
              <w:t>the</w:t>
            </w:r>
            <w:r w:rsidRPr="00941D7C">
              <w:rPr>
                <w:lang w:val="en-GB"/>
              </w:rPr>
              <w:t xml:space="preserve"> information from </w:t>
            </w:r>
            <w:r w:rsidRPr="00941D7C">
              <w:rPr>
                <w:b/>
                <w:i/>
                <w:lang w:val="en-GB"/>
              </w:rPr>
              <w:t>their</w:t>
            </w:r>
            <w:r w:rsidRPr="00941D7C">
              <w:rPr>
                <w:lang w:val="en-GB"/>
              </w:rPr>
              <w:t xml:space="preserve"> business partners </w:t>
            </w:r>
            <w:r w:rsidRPr="00941D7C">
              <w:rPr>
                <w:b/>
                <w:i/>
                <w:lang w:val="en-GB"/>
              </w:rPr>
              <w:t>but rely solely on</w:t>
            </w:r>
            <w:r w:rsidRPr="00941D7C">
              <w:rPr>
                <w:lang w:val="en-GB"/>
              </w:rPr>
              <w:t xml:space="preserve"> information </w:t>
            </w:r>
            <w:r w:rsidRPr="00941D7C">
              <w:rPr>
                <w:b/>
                <w:i/>
                <w:lang w:val="en-GB"/>
              </w:rPr>
              <w:t>that is already reasonably available</w:t>
            </w:r>
            <w:r w:rsidRPr="00941D7C">
              <w:rPr>
                <w:lang w:val="en-GB"/>
              </w:rPr>
              <w:t>.</w:t>
            </w:r>
          </w:p>
        </w:tc>
      </w:tr>
    </w:tbl>
    <w:p w14:paraId="03FD6A6C"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2BE8604A" w14:textId="77777777" w:rsidR="00EE4038" w:rsidRPr="00941D7C" w:rsidRDefault="00EE4038" w:rsidP="00EE4038">
      <w:r w:rsidRPr="00941D7C">
        <w:rPr>
          <w:rStyle w:val="HideTWBExt"/>
        </w:rPr>
        <w:t>&lt;/Amend&gt;</w:t>
      </w:r>
    </w:p>
    <w:p w14:paraId="0CC2D36C" w14:textId="09474ECA" w:rsidR="00E84907" w:rsidRPr="00941D7C" w:rsidRDefault="00E84907" w:rsidP="00E84907">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66</w:t>
      </w:r>
      <w:r w:rsidRPr="00941D7C">
        <w:rPr>
          <w:rStyle w:val="HideTWBExt"/>
          <w:lang w:val="en-GB"/>
        </w:rPr>
        <w:t>&lt;/NumAm&gt;</w:t>
      </w:r>
    </w:p>
    <w:p w14:paraId="2935963A" w14:textId="77777777" w:rsidR="00E84907" w:rsidRPr="00941D7C" w:rsidRDefault="00E84907" w:rsidP="00E84907">
      <w:pPr>
        <w:pStyle w:val="NormalBold12b"/>
        <w:keepNext/>
      </w:pPr>
      <w:r w:rsidRPr="00941D7C">
        <w:rPr>
          <w:rStyle w:val="HideTWBExt"/>
        </w:rPr>
        <w:t>&lt;DocAmend&gt;</w:t>
      </w:r>
      <w:r w:rsidRPr="00941D7C">
        <w:t>Proposal for a directive</w:t>
      </w:r>
      <w:r w:rsidRPr="00941D7C">
        <w:rPr>
          <w:rStyle w:val="HideTWBExt"/>
        </w:rPr>
        <w:t>&lt;/DocAmend&gt;</w:t>
      </w:r>
    </w:p>
    <w:p w14:paraId="07D0E732" w14:textId="77777777" w:rsidR="00E84907" w:rsidRPr="008C7353" w:rsidRDefault="00E84907" w:rsidP="00E84907">
      <w:pPr>
        <w:pStyle w:val="NormalBold"/>
        <w:rPr>
          <w:lang w:val="fr-FR"/>
        </w:rPr>
      </w:pPr>
      <w:r w:rsidRPr="008C7353">
        <w:rPr>
          <w:rStyle w:val="HideTWBExt"/>
          <w:lang w:val="fr-FR"/>
        </w:rPr>
        <w:t>&lt;Article&gt;</w:t>
      </w:r>
      <w:r w:rsidRPr="008C7353">
        <w:rPr>
          <w:lang w:val="fr-FR"/>
        </w:rPr>
        <w:t>Article 4 – paragraph 1 – point 4 – point d</w:t>
      </w:r>
      <w:r w:rsidRPr="008C7353">
        <w:rPr>
          <w:rStyle w:val="HideTWBExt"/>
          <w:lang w:val="fr-FR"/>
        </w:rPr>
        <w:t>&lt;/Article&gt;</w:t>
      </w:r>
    </w:p>
    <w:p w14:paraId="74421E83" w14:textId="77777777" w:rsidR="00E84907" w:rsidRPr="008C7353" w:rsidRDefault="00E84907" w:rsidP="00E84907">
      <w:pPr>
        <w:keepNext/>
        <w:rPr>
          <w:lang w:val="fr-FR"/>
        </w:rPr>
      </w:pPr>
      <w:r w:rsidRPr="008C7353">
        <w:rPr>
          <w:rStyle w:val="HideTWBExt"/>
          <w:lang w:val="fr-FR"/>
        </w:rPr>
        <w:t>&lt;DocAmend2&gt;</w:t>
      </w:r>
      <w:r w:rsidRPr="008C7353">
        <w:rPr>
          <w:lang w:val="fr-FR"/>
        </w:rPr>
        <w:t>Directive (EU) 2024/1760</w:t>
      </w:r>
      <w:r w:rsidRPr="008C7353">
        <w:rPr>
          <w:rStyle w:val="HideTWBExt"/>
          <w:lang w:val="fr-FR"/>
        </w:rPr>
        <w:t>&lt;/DocAmend2&gt;</w:t>
      </w:r>
    </w:p>
    <w:p w14:paraId="27996E05" w14:textId="245CF27C" w:rsidR="00E84907" w:rsidRPr="008C7353" w:rsidRDefault="00E84907" w:rsidP="00E84907">
      <w:pPr>
        <w:rPr>
          <w:lang w:val="fr-FR"/>
        </w:rPr>
      </w:pPr>
      <w:r w:rsidRPr="008C7353">
        <w:rPr>
          <w:rStyle w:val="HideTWBExt"/>
          <w:lang w:val="fr-FR"/>
        </w:rPr>
        <w:t>&lt;Article2&gt;</w:t>
      </w:r>
      <w:r w:rsidRPr="008C7353">
        <w:rPr>
          <w:lang w:val="fr-FR"/>
        </w:rPr>
        <w:t>Art</w:t>
      </w:r>
      <w:r w:rsidR="006D12C5" w:rsidRPr="008C7353">
        <w:rPr>
          <w:lang w:val="fr-FR"/>
        </w:rPr>
        <w:t>i</w:t>
      </w:r>
      <w:r w:rsidRPr="008C7353">
        <w:rPr>
          <w:lang w:val="fr-FR"/>
        </w:rPr>
        <w:t>cle 8 – paragraph 5 – subparagraph 2</w:t>
      </w:r>
      <w:r w:rsidRPr="008C7353">
        <w:rPr>
          <w:rStyle w:val="HideTWBExt"/>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84907" w:rsidRPr="008C7353" w14:paraId="5F7A9FBE" w14:textId="77777777" w:rsidTr="007C3CBA">
        <w:trPr>
          <w:jc w:val="center"/>
        </w:trPr>
        <w:tc>
          <w:tcPr>
            <w:tcW w:w="9752" w:type="dxa"/>
            <w:gridSpan w:val="2"/>
          </w:tcPr>
          <w:p w14:paraId="441E74FB" w14:textId="77777777" w:rsidR="00E84907" w:rsidRPr="008C7353" w:rsidRDefault="00E84907" w:rsidP="005D3964">
            <w:pPr>
              <w:keepNext/>
              <w:rPr>
                <w:lang w:val="fr-FR"/>
              </w:rPr>
            </w:pPr>
          </w:p>
        </w:tc>
      </w:tr>
      <w:tr w:rsidR="00E84907" w:rsidRPr="00941D7C" w14:paraId="5A68AF7E" w14:textId="77777777" w:rsidTr="007C3CBA">
        <w:trPr>
          <w:jc w:val="center"/>
        </w:trPr>
        <w:tc>
          <w:tcPr>
            <w:tcW w:w="4876" w:type="dxa"/>
            <w:hideMark/>
          </w:tcPr>
          <w:p w14:paraId="7E4F1EB3" w14:textId="77777777" w:rsidR="00E84907" w:rsidRPr="00941D7C" w:rsidRDefault="00E84907" w:rsidP="005D3964">
            <w:pPr>
              <w:pStyle w:val="ColumnHeading"/>
              <w:keepNext/>
              <w:rPr>
                <w:lang w:val="en-GB"/>
              </w:rPr>
            </w:pPr>
            <w:r w:rsidRPr="00941D7C">
              <w:rPr>
                <w:lang w:val="en-GB"/>
              </w:rPr>
              <w:t>Text proposed by the Commission</w:t>
            </w:r>
          </w:p>
        </w:tc>
        <w:tc>
          <w:tcPr>
            <w:tcW w:w="4876" w:type="dxa"/>
            <w:hideMark/>
          </w:tcPr>
          <w:p w14:paraId="3C59C1B2" w14:textId="77777777" w:rsidR="00E84907" w:rsidRPr="00941D7C" w:rsidRDefault="00E84907" w:rsidP="005D3964">
            <w:pPr>
              <w:pStyle w:val="ColumnHeading"/>
              <w:keepNext/>
              <w:rPr>
                <w:lang w:val="en-GB"/>
              </w:rPr>
            </w:pPr>
            <w:r w:rsidRPr="00941D7C">
              <w:rPr>
                <w:lang w:val="en-GB"/>
              </w:rPr>
              <w:t>Amendment</w:t>
            </w:r>
          </w:p>
        </w:tc>
      </w:tr>
      <w:tr w:rsidR="00E84907" w:rsidRPr="00941D7C" w14:paraId="38FA55A3" w14:textId="77777777" w:rsidTr="007C3CBA">
        <w:trPr>
          <w:jc w:val="center"/>
        </w:trPr>
        <w:tc>
          <w:tcPr>
            <w:tcW w:w="4876" w:type="dxa"/>
            <w:hideMark/>
          </w:tcPr>
          <w:p w14:paraId="7D2148D7" w14:textId="77777777" w:rsidR="00E84907" w:rsidRPr="00941D7C" w:rsidRDefault="00E84907" w:rsidP="005D3964">
            <w:pPr>
              <w:pStyle w:val="Normal6"/>
              <w:rPr>
                <w:lang w:val="en-GB"/>
              </w:rPr>
            </w:pPr>
            <w:r w:rsidRPr="00941D7C">
              <w:rPr>
                <w:lang w:val="en-GB"/>
              </w:rPr>
              <w:t xml:space="preserve">By way of derogation </w:t>
            </w:r>
            <w:r w:rsidRPr="00941D7C">
              <w:rPr>
                <w:b/>
                <w:i/>
                <w:lang w:val="en-GB"/>
              </w:rPr>
              <w:t>to</w:t>
            </w:r>
            <w:r w:rsidRPr="00941D7C">
              <w:rPr>
                <w:lang w:val="en-GB"/>
              </w:rPr>
              <w:t xml:space="preserve"> the first sub-paragraph, where additional information is necessary for the </w:t>
            </w:r>
            <w:r w:rsidRPr="00941D7C">
              <w:rPr>
                <w:b/>
                <w:i/>
                <w:lang w:val="en-GB"/>
              </w:rPr>
              <w:t>mapping</w:t>
            </w:r>
            <w:r w:rsidRPr="00941D7C">
              <w:rPr>
                <w:lang w:val="en-GB"/>
              </w:rPr>
              <w:t xml:space="preserve"> provided for in paragraph 2, point </w:t>
            </w:r>
            <w:r w:rsidRPr="00941D7C">
              <w:rPr>
                <w:b/>
                <w:i/>
                <w:lang w:val="en-GB"/>
              </w:rPr>
              <w:t>(a)</w:t>
            </w:r>
            <w:r w:rsidRPr="00941D7C">
              <w:rPr>
                <w:lang w:val="en-GB"/>
              </w:rPr>
              <w:t xml:space="preserve">, </w:t>
            </w:r>
            <w:proofErr w:type="gramStart"/>
            <w:r w:rsidRPr="00941D7C">
              <w:rPr>
                <w:lang w:val="en-GB"/>
              </w:rPr>
              <w:t>in light of</w:t>
            </w:r>
            <w:proofErr w:type="gramEnd"/>
            <w:r w:rsidRPr="00941D7C">
              <w:rPr>
                <w:lang w:val="en-GB"/>
              </w:rPr>
              <w:t xml:space="preserve"> indications of likely adverse impacts or because the standards do not cover relevant impacts, and where such additional information cannot reasonably be obtained by other means, the company may seek such information from that business partner.</w:t>
            </w:r>
            <w:r w:rsidRPr="00941D7C">
              <w:rPr>
                <w:b/>
                <w:i/>
                <w:lang w:val="en-GB"/>
              </w:rPr>
              <w:t>;</w:t>
            </w:r>
          </w:p>
        </w:tc>
        <w:tc>
          <w:tcPr>
            <w:tcW w:w="4876" w:type="dxa"/>
            <w:hideMark/>
          </w:tcPr>
          <w:p w14:paraId="00F458AB" w14:textId="4B1553E3" w:rsidR="00E84907" w:rsidRPr="00941D7C" w:rsidRDefault="00E17194" w:rsidP="00E17194">
            <w:pPr>
              <w:pStyle w:val="Normal6"/>
              <w:rPr>
                <w:szCs w:val="24"/>
                <w:lang w:val="en-GB"/>
              </w:rPr>
            </w:pPr>
            <w:r w:rsidRPr="00941D7C">
              <w:rPr>
                <w:b/>
                <w:i/>
                <w:lang w:val="en-GB"/>
              </w:rPr>
              <w:t>5a</w:t>
            </w:r>
            <w:r w:rsidR="00E84907" w:rsidRPr="00941D7C">
              <w:rPr>
                <w:b/>
                <w:i/>
                <w:lang w:val="en-GB"/>
              </w:rPr>
              <w:t>.</w:t>
            </w:r>
            <w:r w:rsidR="00E84907" w:rsidRPr="00941D7C">
              <w:rPr>
                <w:lang w:val="en-GB"/>
              </w:rPr>
              <w:tab/>
            </w:r>
            <w:r w:rsidR="00E84907" w:rsidRPr="00941D7C">
              <w:rPr>
                <w:b/>
                <w:i/>
                <w:lang w:val="en-GB"/>
              </w:rPr>
              <w:t>Member States shall ensure that, for the</w:t>
            </w:r>
            <w:r w:rsidR="00DD0B81" w:rsidRPr="00941D7C">
              <w:rPr>
                <w:b/>
                <w:i/>
                <w:lang w:val="en-GB"/>
              </w:rPr>
              <w:t xml:space="preserve"> purposes of the</w:t>
            </w:r>
            <w:r w:rsidR="00E84907" w:rsidRPr="00941D7C">
              <w:rPr>
                <w:b/>
                <w:i/>
                <w:lang w:val="en-GB"/>
              </w:rPr>
              <w:t xml:space="preserve"> further assessment provided for in paragraph 2, point (b), of this Article companies do not seek to obtain information from direct business partners with fewer than 3000 employees that exceeds the information specified in the standards for voluntary use referred to in Article 29ca of Directive 2013/34/EU. Th</w:t>
            </w:r>
            <w:r w:rsidR="00DD0B81" w:rsidRPr="00941D7C">
              <w:rPr>
                <w:b/>
                <w:i/>
                <w:lang w:val="en-GB"/>
              </w:rPr>
              <w:t>at shall</w:t>
            </w:r>
            <w:r w:rsidR="00E84907" w:rsidRPr="00941D7C">
              <w:rPr>
                <w:b/>
                <w:i/>
                <w:lang w:val="en-GB"/>
              </w:rPr>
              <w:t xml:space="preserve"> appl</w:t>
            </w:r>
            <w:r w:rsidR="00DD0B81" w:rsidRPr="00941D7C">
              <w:rPr>
                <w:b/>
                <w:i/>
                <w:lang w:val="en-GB"/>
              </w:rPr>
              <w:t>y</w:t>
            </w:r>
            <w:r w:rsidR="00E84907" w:rsidRPr="00941D7C">
              <w:rPr>
                <w:b/>
                <w:i/>
                <w:lang w:val="en-GB"/>
              </w:rPr>
              <w:t xml:space="preserve"> mutatis mutandis, where relevant, in the cases provided for in paragraph 2a of this Article.</w:t>
            </w:r>
          </w:p>
        </w:tc>
      </w:tr>
      <w:tr w:rsidR="00E84907" w:rsidRPr="00941D7C" w14:paraId="34E504F9" w14:textId="77777777" w:rsidTr="007C3CBA">
        <w:trPr>
          <w:jc w:val="center"/>
        </w:trPr>
        <w:tc>
          <w:tcPr>
            <w:tcW w:w="4876" w:type="dxa"/>
          </w:tcPr>
          <w:p w14:paraId="76B42CEC" w14:textId="77777777" w:rsidR="00E84907" w:rsidRPr="00941D7C" w:rsidRDefault="00E84907" w:rsidP="005D3964">
            <w:pPr>
              <w:pStyle w:val="Normal6"/>
              <w:rPr>
                <w:lang w:val="en-GB"/>
              </w:rPr>
            </w:pPr>
          </w:p>
        </w:tc>
        <w:tc>
          <w:tcPr>
            <w:tcW w:w="4876" w:type="dxa"/>
            <w:hideMark/>
          </w:tcPr>
          <w:p w14:paraId="792C55D0" w14:textId="0F51D06D" w:rsidR="00E84907" w:rsidRPr="00941D7C" w:rsidRDefault="00E84907" w:rsidP="00DD0B81">
            <w:pPr>
              <w:pStyle w:val="Normal6"/>
              <w:rPr>
                <w:szCs w:val="24"/>
                <w:lang w:val="en-GB"/>
              </w:rPr>
            </w:pPr>
            <w:r w:rsidRPr="00941D7C">
              <w:rPr>
                <w:lang w:val="en-GB"/>
              </w:rPr>
              <w:t xml:space="preserve">By way of derogation </w:t>
            </w:r>
            <w:r w:rsidR="00DD0B81" w:rsidRPr="00941D7C">
              <w:rPr>
                <w:b/>
                <w:i/>
                <w:lang w:val="en-GB"/>
              </w:rPr>
              <w:t>from</w:t>
            </w:r>
            <w:r w:rsidRPr="00941D7C">
              <w:rPr>
                <w:lang w:val="en-GB"/>
              </w:rPr>
              <w:t xml:space="preserve"> the first sub-paragraph, where additional information is necessary for the </w:t>
            </w:r>
            <w:r w:rsidRPr="00941D7C">
              <w:rPr>
                <w:b/>
                <w:i/>
                <w:lang w:val="en-GB"/>
              </w:rPr>
              <w:t>further assessment</w:t>
            </w:r>
            <w:r w:rsidRPr="00941D7C">
              <w:rPr>
                <w:lang w:val="en-GB"/>
              </w:rPr>
              <w:t xml:space="preserve"> provided for in paragraph 2, point </w:t>
            </w:r>
            <w:r w:rsidRPr="00941D7C">
              <w:rPr>
                <w:b/>
                <w:i/>
                <w:lang w:val="en-GB"/>
              </w:rPr>
              <w:t>(b), and where relevant in paragraph 2a</w:t>
            </w:r>
            <w:r w:rsidRPr="00941D7C">
              <w:rPr>
                <w:lang w:val="en-GB"/>
              </w:rPr>
              <w:t xml:space="preserve">, in light of indications of likely adverse impacts or because the standards do not cover relevant impacts, and where such additional information cannot reasonably be obtained by other means, </w:t>
            </w:r>
            <w:r w:rsidRPr="00941D7C">
              <w:rPr>
                <w:b/>
                <w:i/>
                <w:lang w:val="en-GB"/>
              </w:rPr>
              <w:t>mainly from existing or secondary sources,</w:t>
            </w:r>
            <w:r w:rsidRPr="00941D7C">
              <w:rPr>
                <w:lang w:val="en-GB"/>
              </w:rPr>
              <w:t xml:space="preserve"> the company may seek such information from that business partner </w:t>
            </w:r>
            <w:r w:rsidRPr="00941D7C">
              <w:rPr>
                <w:b/>
                <w:i/>
                <w:lang w:val="en-GB"/>
              </w:rPr>
              <w:t>and, where reasonable, directly from the business partners where the adverse impacts are most likely to occur</w:t>
            </w:r>
            <w:r w:rsidRPr="00941D7C">
              <w:rPr>
                <w:lang w:val="en-GB"/>
              </w:rPr>
              <w:t xml:space="preserve">. </w:t>
            </w:r>
            <w:r w:rsidRPr="00941D7C">
              <w:rPr>
                <w:b/>
                <w:i/>
                <w:lang w:val="en-GB"/>
              </w:rPr>
              <w:t>Information may be sought individually or collaboratively.’</w:t>
            </w:r>
            <w:r w:rsidR="003946B2" w:rsidRPr="00941D7C">
              <w:rPr>
                <w:b/>
                <w:i/>
                <w:lang w:val="en-GB"/>
              </w:rPr>
              <w:t>;</w:t>
            </w:r>
          </w:p>
        </w:tc>
      </w:tr>
    </w:tbl>
    <w:p w14:paraId="50FC9A66" w14:textId="77777777" w:rsidR="00E84907" w:rsidRPr="00941D7C" w:rsidRDefault="00E84907" w:rsidP="00E84907">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05BC2203" w14:textId="77777777" w:rsidR="00E84907" w:rsidRPr="00941D7C" w:rsidRDefault="00E84907" w:rsidP="00E84907">
      <w:r w:rsidRPr="00941D7C">
        <w:rPr>
          <w:rStyle w:val="HideTWBExt"/>
        </w:rPr>
        <w:t>&lt;/Amend&gt;</w:t>
      </w:r>
    </w:p>
    <w:p w14:paraId="1D71703C" w14:textId="50B592EE"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67</w:t>
      </w:r>
      <w:r w:rsidRPr="00941D7C">
        <w:rPr>
          <w:rStyle w:val="HideTWBExt"/>
          <w:lang w:val="en-GB"/>
        </w:rPr>
        <w:t>&lt;/NumAm&gt;</w:t>
      </w:r>
    </w:p>
    <w:p w14:paraId="23EB688B"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19165F8F"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4</w:t>
      </w:r>
      <w:r w:rsidR="00E84907" w:rsidRPr="008C7353">
        <w:rPr>
          <w:lang w:val="fr-FR"/>
        </w:rPr>
        <w:t xml:space="preserve"> </w:t>
      </w:r>
      <w:r w:rsidRPr="008C7353">
        <w:rPr>
          <w:lang w:val="fr-FR"/>
        </w:rPr>
        <w:t>a (new)</w:t>
      </w:r>
      <w:r w:rsidRPr="008C7353">
        <w:rPr>
          <w:rStyle w:val="HideTWBExt"/>
          <w:lang w:val="fr-FR"/>
        </w:rPr>
        <w:t>&lt;/Article&gt;</w:t>
      </w:r>
    </w:p>
    <w:p w14:paraId="0A5CBA3C" w14:textId="77777777" w:rsidR="00EE4038" w:rsidRPr="00941D7C" w:rsidRDefault="00EE4038" w:rsidP="00EE4038">
      <w:pPr>
        <w:keepNext/>
      </w:pPr>
      <w:r w:rsidRPr="00941D7C">
        <w:rPr>
          <w:rStyle w:val="HideTWBExt"/>
        </w:rPr>
        <w:t>&lt;DocAmend2&gt;</w:t>
      </w:r>
      <w:r w:rsidRPr="00941D7C">
        <w:t>Directive (EU) 2024/1760</w:t>
      </w:r>
      <w:r w:rsidRPr="00941D7C">
        <w:rPr>
          <w:rStyle w:val="HideTWBExt"/>
        </w:rPr>
        <w:t>&lt;/DocAmend2&gt;</w:t>
      </w:r>
    </w:p>
    <w:p w14:paraId="226135A3" w14:textId="60D28A2D" w:rsidR="00EE4038" w:rsidRPr="00941D7C" w:rsidRDefault="00EE4038" w:rsidP="00EE4038">
      <w:r w:rsidRPr="00941D7C">
        <w:rPr>
          <w:rStyle w:val="HideTWBExt"/>
        </w:rPr>
        <w:t>&lt;Article2&gt;</w:t>
      </w:r>
      <w:r w:rsidRPr="00941D7C">
        <w:t>Article 9</w:t>
      </w:r>
      <w:r w:rsidRPr="00941D7C">
        <w:rPr>
          <w:rStyle w:val="HideTWBExt"/>
        </w:rPr>
        <w:t>&lt;/Article2&gt;</w:t>
      </w:r>
    </w:p>
    <w:tbl>
      <w:tblPr>
        <w:tblW w:w="0"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4C07C4BC" w14:textId="77777777" w:rsidTr="00EE4038">
        <w:trPr>
          <w:jc w:val="center"/>
        </w:trPr>
        <w:tc>
          <w:tcPr>
            <w:tcW w:w="9752" w:type="dxa"/>
            <w:gridSpan w:val="2"/>
          </w:tcPr>
          <w:p w14:paraId="06537DA5" w14:textId="77777777" w:rsidR="00EE4038" w:rsidRPr="00941D7C" w:rsidRDefault="00EE4038">
            <w:pPr>
              <w:keepNext/>
            </w:pPr>
          </w:p>
        </w:tc>
      </w:tr>
      <w:tr w:rsidR="00EE4038" w:rsidRPr="00941D7C" w14:paraId="25AF13D7" w14:textId="77777777" w:rsidTr="00EE4038">
        <w:trPr>
          <w:jc w:val="center"/>
        </w:trPr>
        <w:tc>
          <w:tcPr>
            <w:tcW w:w="4876" w:type="dxa"/>
            <w:hideMark/>
          </w:tcPr>
          <w:p w14:paraId="61133710" w14:textId="77777777" w:rsidR="00EE4038" w:rsidRPr="00941D7C" w:rsidRDefault="00EE4038">
            <w:pPr>
              <w:pStyle w:val="ColumnHeading"/>
              <w:keepNext/>
              <w:rPr>
                <w:lang w:val="en-GB"/>
              </w:rPr>
            </w:pPr>
            <w:r w:rsidRPr="00941D7C">
              <w:rPr>
                <w:lang w:val="en-GB"/>
              </w:rPr>
              <w:t>Present text</w:t>
            </w:r>
          </w:p>
        </w:tc>
        <w:tc>
          <w:tcPr>
            <w:tcW w:w="4876" w:type="dxa"/>
            <w:hideMark/>
          </w:tcPr>
          <w:p w14:paraId="393447B1" w14:textId="77777777" w:rsidR="00EE4038" w:rsidRPr="00941D7C" w:rsidRDefault="00EE4038">
            <w:pPr>
              <w:pStyle w:val="ColumnHeading"/>
              <w:keepNext/>
              <w:rPr>
                <w:lang w:val="en-GB"/>
              </w:rPr>
            </w:pPr>
            <w:r w:rsidRPr="00941D7C">
              <w:rPr>
                <w:lang w:val="en-GB"/>
              </w:rPr>
              <w:t>Amendment</w:t>
            </w:r>
          </w:p>
        </w:tc>
      </w:tr>
      <w:tr w:rsidR="00EE4038" w:rsidRPr="00941D7C" w14:paraId="2943C43F" w14:textId="77777777" w:rsidTr="00EE4038">
        <w:trPr>
          <w:jc w:val="center"/>
        </w:trPr>
        <w:tc>
          <w:tcPr>
            <w:tcW w:w="4876" w:type="dxa"/>
          </w:tcPr>
          <w:p w14:paraId="4898DDF8" w14:textId="77777777" w:rsidR="00EE4038" w:rsidRPr="00941D7C" w:rsidRDefault="00EE4038">
            <w:pPr>
              <w:pStyle w:val="Normal6"/>
              <w:rPr>
                <w:lang w:val="en-GB"/>
              </w:rPr>
            </w:pPr>
          </w:p>
        </w:tc>
        <w:tc>
          <w:tcPr>
            <w:tcW w:w="4876" w:type="dxa"/>
            <w:hideMark/>
          </w:tcPr>
          <w:p w14:paraId="2B885C25" w14:textId="080BD8C3" w:rsidR="00EE4038" w:rsidRPr="00941D7C" w:rsidRDefault="00EE4038">
            <w:pPr>
              <w:pStyle w:val="Normal6"/>
              <w:rPr>
                <w:szCs w:val="24"/>
                <w:lang w:val="en-GB"/>
              </w:rPr>
            </w:pPr>
            <w:r w:rsidRPr="00941D7C">
              <w:rPr>
                <w:b/>
                <w:i/>
                <w:lang w:val="en-GB"/>
              </w:rPr>
              <w:t>(4a)</w:t>
            </w:r>
            <w:r w:rsidRPr="00941D7C">
              <w:rPr>
                <w:b/>
                <w:i/>
                <w:lang w:val="en-GB"/>
              </w:rPr>
              <w:tab/>
              <w:t>Article 9 is replaced by the following:</w:t>
            </w:r>
          </w:p>
        </w:tc>
      </w:tr>
      <w:tr w:rsidR="00EE4038" w:rsidRPr="00941D7C" w14:paraId="30441AF1" w14:textId="77777777" w:rsidTr="00EE4038">
        <w:trPr>
          <w:jc w:val="center"/>
        </w:trPr>
        <w:tc>
          <w:tcPr>
            <w:tcW w:w="4876" w:type="dxa"/>
            <w:hideMark/>
          </w:tcPr>
          <w:p w14:paraId="27CC5F55" w14:textId="77777777" w:rsidR="00EE4038" w:rsidRPr="00941D7C" w:rsidRDefault="00EE4038">
            <w:pPr>
              <w:pStyle w:val="Normal6"/>
              <w:jc w:val="center"/>
              <w:rPr>
                <w:iCs/>
                <w:lang w:val="en-GB"/>
              </w:rPr>
            </w:pPr>
            <w:r w:rsidRPr="00941D7C">
              <w:rPr>
                <w:iCs/>
                <w:lang w:val="en-GB"/>
              </w:rPr>
              <w:t>Article 9</w:t>
            </w:r>
          </w:p>
          <w:p w14:paraId="66720D6D" w14:textId="77777777" w:rsidR="00EE4038" w:rsidRPr="00941D7C" w:rsidRDefault="00EE4038">
            <w:pPr>
              <w:pStyle w:val="Normal6"/>
              <w:jc w:val="center"/>
              <w:rPr>
                <w:lang w:val="en-GB"/>
              </w:rPr>
            </w:pPr>
            <w:r w:rsidRPr="00941D7C">
              <w:rPr>
                <w:bCs/>
                <w:lang w:val="en-GB"/>
              </w:rPr>
              <w:t>Prioritisation of identified actual and potential adverse impacts</w:t>
            </w:r>
          </w:p>
        </w:tc>
        <w:tc>
          <w:tcPr>
            <w:tcW w:w="4876" w:type="dxa"/>
            <w:hideMark/>
          </w:tcPr>
          <w:p w14:paraId="407A0EBA" w14:textId="0DA58C6F" w:rsidR="00EE4038" w:rsidRPr="00941D7C" w:rsidRDefault="003946B2">
            <w:pPr>
              <w:pStyle w:val="Normal6"/>
              <w:jc w:val="center"/>
              <w:rPr>
                <w:iCs/>
                <w:lang w:val="en-GB"/>
              </w:rPr>
            </w:pPr>
            <w:r w:rsidRPr="00941D7C">
              <w:rPr>
                <w:b/>
                <w:i/>
                <w:iCs/>
                <w:lang w:val="en-GB"/>
              </w:rPr>
              <w:t>‘</w:t>
            </w:r>
            <w:r w:rsidR="00EE4038" w:rsidRPr="00941D7C">
              <w:rPr>
                <w:iCs/>
                <w:lang w:val="en-GB"/>
              </w:rPr>
              <w:t>Article 9</w:t>
            </w:r>
          </w:p>
          <w:p w14:paraId="2593C047" w14:textId="77777777" w:rsidR="00EE4038" w:rsidRPr="00941D7C" w:rsidRDefault="00EE4038">
            <w:pPr>
              <w:pStyle w:val="Normal6"/>
              <w:jc w:val="center"/>
              <w:rPr>
                <w:szCs w:val="24"/>
                <w:lang w:val="en-GB"/>
              </w:rPr>
            </w:pPr>
            <w:r w:rsidRPr="00941D7C">
              <w:rPr>
                <w:bCs/>
                <w:lang w:val="en-GB"/>
              </w:rPr>
              <w:t>Prioritisation of identified actual and potential adverse impacts</w:t>
            </w:r>
            <w:r w:rsidRPr="00941D7C">
              <w:rPr>
                <w:b/>
                <w:i/>
                <w:lang w:val="en-GB"/>
              </w:rPr>
              <w:t xml:space="preserve"> </w:t>
            </w:r>
          </w:p>
        </w:tc>
      </w:tr>
      <w:tr w:rsidR="00EE4038" w:rsidRPr="00941D7C" w14:paraId="0529F1E3" w14:textId="77777777" w:rsidTr="00EE4038">
        <w:trPr>
          <w:jc w:val="center"/>
        </w:trPr>
        <w:tc>
          <w:tcPr>
            <w:tcW w:w="4876" w:type="dxa"/>
            <w:hideMark/>
          </w:tcPr>
          <w:p w14:paraId="3FCA5D67" w14:textId="77777777" w:rsidR="00EE4038" w:rsidRPr="00941D7C" w:rsidRDefault="00EE4038">
            <w:pPr>
              <w:pStyle w:val="Normal6"/>
              <w:rPr>
                <w:lang w:val="en-GB"/>
              </w:rPr>
            </w:pPr>
            <w:r w:rsidRPr="00941D7C">
              <w:rPr>
                <w:lang w:val="en-GB"/>
              </w:rPr>
              <w:t>1.</w:t>
            </w:r>
            <w:r w:rsidRPr="00941D7C">
              <w:rPr>
                <w:lang w:val="en-GB"/>
              </w:rPr>
              <w:tab/>
              <w:t xml:space="preserve">Member States shall ensure that, where it is not feasible </w:t>
            </w:r>
            <w:r w:rsidRPr="00941D7C">
              <w:rPr>
                <w:b/>
                <w:i/>
                <w:lang w:val="en-GB"/>
              </w:rPr>
              <w:t xml:space="preserve">to prevent, mitigate, </w:t>
            </w:r>
            <w:proofErr w:type="gramStart"/>
            <w:r w:rsidRPr="00941D7C">
              <w:rPr>
                <w:b/>
                <w:i/>
                <w:lang w:val="en-GB"/>
              </w:rPr>
              <w:t>bring to an end</w:t>
            </w:r>
            <w:proofErr w:type="gramEnd"/>
            <w:r w:rsidRPr="00941D7C">
              <w:rPr>
                <w:b/>
                <w:i/>
                <w:lang w:val="en-GB"/>
              </w:rPr>
              <w:t xml:space="preserve"> or minimise all identified adverse impacts at the same time and to their full extent,</w:t>
            </w:r>
            <w:r w:rsidRPr="00941D7C">
              <w:rPr>
                <w:lang w:val="en-GB"/>
              </w:rPr>
              <w:t xml:space="preserve"> companies </w:t>
            </w:r>
            <w:r w:rsidRPr="00941D7C">
              <w:rPr>
                <w:b/>
                <w:i/>
                <w:lang w:val="en-GB"/>
              </w:rPr>
              <w:t>prioritise</w:t>
            </w:r>
            <w:r w:rsidRPr="00941D7C">
              <w:rPr>
                <w:lang w:val="en-GB"/>
              </w:rPr>
              <w:t xml:space="preserve"> adverse impacts identified pursuant to Article 8 in order to fulfil the obligations laid down in Article 10 or 11.</w:t>
            </w:r>
          </w:p>
        </w:tc>
        <w:tc>
          <w:tcPr>
            <w:tcW w:w="4876" w:type="dxa"/>
            <w:hideMark/>
          </w:tcPr>
          <w:p w14:paraId="516E07B1" w14:textId="49876058" w:rsidR="00EE4038" w:rsidRPr="00941D7C" w:rsidRDefault="00EE4038">
            <w:pPr>
              <w:pStyle w:val="Normal6"/>
              <w:rPr>
                <w:szCs w:val="24"/>
                <w:lang w:val="en-GB"/>
              </w:rPr>
            </w:pPr>
            <w:r w:rsidRPr="00941D7C">
              <w:rPr>
                <w:lang w:val="en-GB"/>
              </w:rPr>
              <w:t>1.</w:t>
            </w:r>
            <w:r w:rsidRPr="00941D7C">
              <w:rPr>
                <w:lang w:val="en-GB"/>
              </w:rPr>
              <w:tab/>
              <w:t>Member States shall ensure that, where it is not feasible</w:t>
            </w:r>
            <w:r w:rsidRPr="00941D7C">
              <w:rPr>
                <w:b/>
                <w:i/>
                <w:lang w:val="en-GB"/>
              </w:rPr>
              <w:t xml:space="preserve"> for </w:t>
            </w:r>
            <w:r w:rsidRPr="00941D7C">
              <w:rPr>
                <w:lang w:val="en-GB"/>
              </w:rPr>
              <w:t>companies</w:t>
            </w:r>
            <w:r w:rsidRPr="00941D7C">
              <w:rPr>
                <w:b/>
                <w:i/>
                <w:lang w:val="en-GB"/>
              </w:rPr>
              <w:t xml:space="preserve"> to prevent, mitigate, </w:t>
            </w:r>
            <w:proofErr w:type="gramStart"/>
            <w:r w:rsidRPr="00941D7C">
              <w:rPr>
                <w:b/>
                <w:i/>
                <w:lang w:val="en-GB"/>
              </w:rPr>
              <w:t>bring to an end</w:t>
            </w:r>
            <w:proofErr w:type="gramEnd"/>
            <w:r w:rsidRPr="00941D7C">
              <w:rPr>
                <w:b/>
                <w:i/>
                <w:lang w:val="en-GB"/>
              </w:rPr>
              <w:t xml:space="preserve"> or minimise all </w:t>
            </w:r>
            <w:r w:rsidRPr="00941D7C">
              <w:rPr>
                <w:lang w:val="en-GB"/>
              </w:rPr>
              <w:t>adverse impacts identified pursuant to Article 8</w:t>
            </w:r>
            <w:r w:rsidR="00587B18" w:rsidRPr="00941D7C">
              <w:rPr>
                <w:b/>
                <w:i/>
                <w:lang w:val="en-GB"/>
              </w:rPr>
              <w:t>,</w:t>
            </w:r>
            <w:r w:rsidRPr="00941D7C">
              <w:rPr>
                <w:b/>
                <w:i/>
                <w:lang w:val="en-GB"/>
              </w:rPr>
              <w:t xml:space="preserve"> companies are able to prioritise the most severe and most likely adverse impacts </w:t>
            </w:r>
            <w:r w:rsidRPr="00941D7C">
              <w:rPr>
                <w:lang w:val="en-GB"/>
              </w:rPr>
              <w:t>in</w:t>
            </w:r>
            <w:r w:rsidRPr="00941D7C">
              <w:rPr>
                <w:b/>
                <w:i/>
                <w:lang w:val="en-GB"/>
              </w:rPr>
              <w:t xml:space="preserve"> </w:t>
            </w:r>
            <w:r w:rsidRPr="00941D7C">
              <w:rPr>
                <w:lang w:val="en-GB"/>
              </w:rPr>
              <w:t>order to fulfil the obligations laid down in Article 10 or 11.</w:t>
            </w:r>
            <w:r w:rsidRPr="00941D7C">
              <w:rPr>
                <w:b/>
                <w:i/>
                <w:lang w:val="en-GB"/>
              </w:rPr>
              <w:t>’</w:t>
            </w:r>
          </w:p>
        </w:tc>
      </w:tr>
      <w:tr w:rsidR="00EE4038" w:rsidRPr="00941D7C" w14:paraId="5733258D" w14:textId="77777777" w:rsidTr="00EE4038">
        <w:trPr>
          <w:jc w:val="center"/>
        </w:trPr>
        <w:tc>
          <w:tcPr>
            <w:tcW w:w="4876" w:type="dxa"/>
            <w:hideMark/>
          </w:tcPr>
          <w:p w14:paraId="35314A1D" w14:textId="77777777" w:rsidR="00EE4038" w:rsidRPr="00941D7C" w:rsidRDefault="00EE4038">
            <w:pPr>
              <w:pStyle w:val="Normal6"/>
              <w:rPr>
                <w:b/>
                <w:i/>
                <w:lang w:val="en-GB"/>
              </w:rPr>
            </w:pPr>
            <w:r w:rsidRPr="00941D7C">
              <w:rPr>
                <w:b/>
                <w:i/>
                <w:lang w:val="en-GB"/>
              </w:rPr>
              <w:t>2.</w:t>
            </w:r>
            <w:r w:rsidRPr="00941D7C">
              <w:rPr>
                <w:b/>
                <w:i/>
                <w:lang w:val="en-GB"/>
              </w:rPr>
              <w:tab/>
              <w:t>The prioritisation referred to in paragraph 1 shall be based on the severity and likelihood of the adverse impacts.</w:t>
            </w:r>
          </w:p>
        </w:tc>
        <w:tc>
          <w:tcPr>
            <w:tcW w:w="4876" w:type="dxa"/>
          </w:tcPr>
          <w:p w14:paraId="3EF4FA4D" w14:textId="77777777" w:rsidR="00EE4038" w:rsidRPr="00941D7C" w:rsidRDefault="00EE4038">
            <w:pPr>
              <w:pStyle w:val="Normal6"/>
              <w:rPr>
                <w:b/>
                <w:i/>
                <w:lang w:val="en-GB"/>
              </w:rPr>
            </w:pPr>
          </w:p>
        </w:tc>
      </w:tr>
      <w:tr w:rsidR="00EE4038" w:rsidRPr="00941D7C" w14:paraId="5AF7CCA9" w14:textId="77777777" w:rsidTr="00EE4038">
        <w:trPr>
          <w:jc w:val="center"/>
        </w:trPr>
        <w:tc>
          <w:tcPr>
            <w:tcW w:w="4876" w:type="dxa"/>
            <w:hideMark/>
          </w:tcPr>
          <w:p w14:paraId="60347A4C" w14:textId="77777777" w:rsidR="00EE4038" w:rsidRPr="00941D7C" w:rsidRDefault="00EE4038">
            <w:pPr>
              <w:pStyle w:val="Normal6"/>
              <w:rPr>
                <w:lang w:val="en-GB"/>
              </w:rPr>
            </w:pPr>
            <w:r w:rsidRPr="00941D7C">
              <w:rPr>
                <w:b/>
                <w:i/>
                <w:lang w:val="en-GB"/>
              </w:rPr>
              <w:t>3.</w:t>
            </w:r>
            <w:r w:rsidRPr="00941D7C">
              <w:rPr>
                <w:lang w:val="en-GB"/>
              </w:rPr>
              <w:tab/>
            </w:r>
            <w:r w:rsidRPr="00941D7C">
              <w:rPr>
                <w:b/>
                <w:i/>
                <w:lang w:val="en-GB"/>
              </w:rPr>
              <w:t>Once the most severe and most likely adverse impacts are addressed in accordance with Article 10 or 11 within a reasonable time, the company shall address less severe and less likely adverse impacts</w:t>
            </w:r>
            <w:r w:rsidRPr="00941D7C">
              <w:rPr>
                <w:lang w:val="en-GB"/>
              </w:rPr>
              <w:t>.</w:t>
            </w:r>
          </w:p>
        </w:tc>
        <w:tc>
          <w:tcPr>
            <w:tcW w:w="4876" w:type="dxa"/>
            <w:hideMark/>
          </w:tcPr>
          <w:p w14:paraId="58449AE9" w14:textId="204175F4" w:rsidR="00EE4038" w:rsidRPr="00941D7C" w:rsidRDefault="00EE4038" w:rsidP="003C62C4">
            <w:pPr>
              <w:pStyle w:val="Normal6"/>
              <w:rPr>
                <w:szCs w:val="24"/>
                <w:lang w:val="en-GB"/>
              </w:rPr>
            </w:pPr>
            <w:r w:rsidRPr="00941D7C">
              <w:rPr>
                <w:b/>
                <w:i/>
                <w:lang w:val="en-GB"/>
              </w:rPr>
              <w:t>2.</w:t>
            </w:r>
            <w:r w:rsidR="00E84907" w:rsidRPr="00941D7C">
              <w:rPr>
                <w:b/>
                <w:i/>
                <w:lang w:val="en-GB"/>
              </w:rPr>
              <w:tab/>
            </w:r>
            <w:r w:rsidRPr="00941D7C">
              <w:rPr>
                <w:b/>
                <w:i/>
                <w:lang w:val="en-GB"/>
              </w:rPr>
              <w:t xml:space="preserve">Where prioritisation decisions </w:t>
            </w:r>
            <w:r w:rsidR="00587B18" w:rsidRPr="00941D7C">
              <w:rPr>
                <w:b/>
                <w:i/>
                <w:lang w:val="en-GB"/>
              </w:rPr>
              <w:t xml:space="preserve">are </w:t>
            </w:r>
            <w:r w:rsidRPr="00941D7C">
              <w:rPr>
                <w:b/>
                <w:i/>
                <w:lang w:val="en-GB"/>
              </w:rPr>
              <w:t xml:space="preserve">made in accordance with this Article, Member States shall ensure that companies are not penalised under Article 25 </w:t>
            </w:r>
            <w:r w:rsidR="00587B18" w:rsidRPr="00941D7C">
              <w:rPr>
                <w:b/>
                <w:i/>
                <w:lang w:val="en-GB"/>
              </w:rPr>
              <w:t>or</w:t>
            </w:r>
            <w:r w:rsidRPr="00941D7C">
              <w:rPr>
                <w:b/>
                <w:i/>
                <w:lang w:val="en-GB"/>
              </w:rPr>
              <w:t xml:space="preserve"> 27 for any harm stemming from any less significant adverse impacts that </w:t>
            </w:r>
            <w:r w:rsidR="00587B18" w:rsidRPr="00941D7C">
              <w:rPr>
                <w:b/>
                <w:i/>
                <w:lang w:val="en-GB"/>
              </w:rPr>
              <w:t xml:space="preserve">have </w:t>
            </w:r>
            <w:r w:rsidRPr="00941D7C">
              <w:rPr>
                <w:b/>
                <w:i/>
                <w:lang w:val="en-GB"/>
              </w:rPr>
              <w:t xml:space="preserve">not yet </w:t>
            </w:r>
            <w:r w:rsidR="00587B18" w:rsidRPr="00941D7C">
              <w:rPr>
                <w:b/>
                <w:i/>
                <w:lang w:val="en-GB"/>
              </w:rPr>
              <w:t xml:space="preserve">been </w:t>
            </w:r>
            <w:r w:rsidRPr="00941D7C">
              <w:rPr>
                <w:b/>
                <w:i/>
                <w:lang w:val="en-GB"/>
              </w:rPr>
              <w:t>addressed.’</w:t>
            </w:r>
            <w:r w:rsidR="00DC6DAD" w:rsidRPr="00941D7C">
              <w:rPr>
                <w:b/>
                <w:i/>
                <w:lang w:val="en-GB"/>
              </w:rPr>
              <w:t>;</w:t>
            </w:r>
          </w:p>
        </w:tc>
      </w:tr>
    </w:tbl>
    <w:p w14:paraId="6F735E70"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37FACFDF" w14:textId="77777777" w:rsidR="00EE4038" w:rsidRPr="00941D7C" w:rsidRDefault="00EE4038" w:rsidP="00EE4038">
      <w:r w:rsidRPr="00941D7C">
        <w:rPr>
          <w:rStyle w:val="HideTWBExt"/>
        </w:rPr>
        <w:t>&lt;/Amend&gt;</w:t>
      </w:r>
    </w:p>
    <w:p w14:paraId="2C05681E" w14:textId="0A56DBF9"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68</w:t>
      </w:r>
      <w:r w:rsidRPr="00941D7C">
        <w:rPr>
          <w:rStyle w:val="HideTWBExt"/>
          <w:lang w:val="en-GB"/>
        </w:rPr>
        <w:t>&lt;/NumAm&gt;</w:t>
      </w:r>
    </w:p>
    <w:p w14:paraId="66781306"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277EBC00"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5</w:t>
      </w:r>
      <w:r w:rsidRPr="008C7353">
        <w:rPr>
          <w:rStyle w:val="HideTWBExt"/>
          <w:lang w:val="fr-FR"/>
        </w:rPr>
        <w:t>&lt;/Article&gt;</w:t>
      </w:r>
    </w:p>
    <w:p w14:paraId="43FF1847" w14:textId="77777777" w:rsidR="00EE4038" w:rsidRPr="008C7353" w:rsidRDefault="00EE4038" w:rsidP="00EE4038">
      <w:pPr>
        <w:keepNext/>
        <w:rPr>
          <w:lang w:val="fr-FR"/>
        </w:rPr>
      </w:pPr>
      <w:r w:rsidRPr="008C7353">
        <w:rPr>
          <w:rStyle w:val="HideTWBExt"/>
          <w:lang w:val="fr-FR"/>
        </w:rPr>
        <w:t>&lt;DocAmend2&gt;</w:t>
      </w:r>
      <w:r w:rsidRPr="008C7353">
        <w:rPr>
          <w:lang w:val="fr-FR"/>
        </w:rPr>
        <w:t>Directive (EU) 2024/1760</w:t>
      </w:r>
      <w:r w:rsidRPr="008C7353">
        <w:rPr>
          <w:rStyle w:val="HideTWBExt"/>
          <w:lang w:val="fr-FR"/>
        </w:rPr>
        <w:t>&lt;/DocAmend2&gt;</w:t>
      </w:r>
    </w:p>
    <w:p w14:paraId="2C533230" w14:textId="77777777" w:rsidR="00EE4038" w:rsidRPr="00941D7C" w:rsidRDefault="00EE4038" w:rsidP="00EE4038">
      <w:r w:rsidRPr="00941D7C">
        <w:rPr>
          <w:rStyle w:val="HideTWBExt"/>
        </w:rPr>
        <w:t>&lt;Article2&gt;</w:t>
      </w:r>
      <w:r w:rsidRPr="00941D7C">
        <w:t>Article 10 – paragraph 6 – subparagraph 2</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6EF93C19" w14:textId="77777777" w:rsidTr="00EE4038">
        <w:trPr>
          <w:jc w:val="center"/>
        </w:trPr>
        <w:tc>
          <w:tcPr>
            <w:tcW w:w="9752" w:type="dxa"/>
            <w:gridSpan w:val="2"/>
          </w:tcPr>
          <w:p w14:paraId="0EB91F7A" w14:textId="77777777" w:rsidR="00EE4038" w:rsidRPr="00941D7C" w:rsidRDefault="00EE4038">
            <w:pPr>
              <w:keepNext/>
            </w:pPr>
          </w:p>
        </w:tc>
      </w:tr>
      <w:tr w:rsidR="00EE4038" w:rsidRPr="00941D7C" w14:paraId="15894E07" w14:textId="77777777" w:rsidTr="00EE4038">
        <w:trPr>
          <w:jc w:val="center"/>
        </w:trPr>
        <w:tc>
          <w:tcPr>
            <w:tcW w:w="4876" w:type="dxa"/>
            <w:hideMark/>
          </w:tcPr>
          <w:p w14:paraId="6A836E6F"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4F309322" w14:textId="77777777" w:rsidR="00EE4038" w:rsidRPr="00941D7C" w:rsidRDefault="00EE4038">
            <w:pPr>
              <w:pStyle w:val="ColumnHeading"/>
              <w:keepNext/>
              <w:rPr>
                <w:lang w:val="en-GB"/>
              </w:rPr>
            </w:pPr>
            <w:r w:rsidRPr="00941D7C">
              <w:rPr>
                <w:lang w:val="en-GB"/>
              </w:rPr>
              <w:t>Amendment</w:t>
            </w:r>
          </w:p>
        </w:tc>
      </w:tr>
      <w:tr w:rsidR="00EE4038" w:rsidRPr="00941D7C" w14:paraId="73829358" w14:textId="77777777" w:rsidTr="00EE4038">
        <w:trPr>
          <w:jc w:val="center"/>
        </w:trPr>
        <w:tc>
          <w:tcPr>
            <w:tcW w:w="4876" w:type="dxa"/>
            <w:hideMark/>
          </w:tcPr>
          <w:p w14:paraId="4F8331BE" w14:textId="77777777" w:rsidR="00EE4038" w:rsidRPr="00941D7C" w:rsidRDefault="00EE4038">
            <w:pPr>
              <w:pStyle w:val="Normal6"/>
              <w:rPr>
                <w:lang w:val="en-GB"/>
              </w:rPr>
            </w:pPr>
            <w:proofErr w:type="gramStart"/>
            <w:r w:rsidRPr="00941D7C">
              <w:rPr>
                <w:lang w:val="en-GB"/>
              </w:rPr>
              <w:t>As long as</w:t>
            </w:r>
            <w:proofErr w:type="gramEnd"/>
            <w:r w:rsidRPr="00941D7C">
              <w:rPr>
                <w:lang w:val="en-GB"/>
              </w:rPr>
              <w:t xml:space="preserve"> there is a reasonable expectation that the enhanced prevention action plan will succeed, the mere fact of continuing to engage with the business partner shall not </w:t>
            </w:r>
            <w:r w:rsidRPr="00941D7C">
              <w:rPr>
                <w:b/>
                <w:i/>
                <w:lang w:val="en-GB"/>
              </w:rPr>
              <w:t>trigger the company’s</w:t>
            </w:r>
            <w:r w:rsidRPr="00941D7C">
              <w:rPr>
                <w:lang w:val="en-GB"/>
              </w:rPr>
              <w:t xml:space="preserve"> liability.</w:t>
            </w:r>
          </w:p>
        </w:tc>
        <w:tc>
          <w:tcPr>
            <w:tcW w:w="4876" w:type="dxa"/>
            <w:hideMark/>
          </w:tcPr>
          <w:p w14:paraId="77181FA2" w14:textId="77777777" w:rsidR="00EE4038" w:rsidRPr="00941D7C" w:rsidRDefault="00EE4038">
            <w:pPr>
              <w:pStyle w:val="Normal6"/>
              <w:rPr>
                <w:szCs w:val="24"/>
                <w:lang w:val="en-GB"/>
              </w:rPr>
            </w:pPr>
            <w:proofErr w:type="gramStart"/>
            <w:r w:rsidRPr="00941D7C">
              <w:rPr>
                <w:lang w:val="en-GB"/>
              </w:rPr>
              <w:t>As long as</w:t>
            </w:r>
            <w:proofErr w:type="gramEnd"/>
            <w:r w:rsidRPr="00941D7C">
              <w:rPr>
                <w:lang w:val="en-GB"/>
              </w:rPr>
              <w:t xml:space="preserve"> there is a reasonable expectation that the enhanced prevention action plan will succeed, the mere fact of continuing to engage with the business partner shall not </w:t>
            </w:r>
            <w:r w:rsidRPr="00941D7C">
              <w:rPr>
                <w:b/>
                <w:i/>
                <w:lang w:val="en-GB"/>
              </w:rPr>
              <w:t>expose the company to penalties pursuant to Article 27 or to</w:t>
            </w:r>
            <w:r w:rsidRPr="00941D7C">
              <w:rPr>
                <w:lang w:val="en-GB"/>
              </w:rPr>
              <w:t xml:space="preserve"> liability </w:t>
            </w:r>
            <w:r w:rsidRPr="00941D7C">
              <w:rPr>
                <w:b/>
                <w:i/>
                <w:lang w:val="en-GB"/>
              </w:rPr>
              <w:t>under Article 29</w:t>
            </w:r>
            <w:r w:rsidRPr="00941D7C">
              <w:rPr>
                <w:lang w:val="en-GB"/>
              </w:rPr>
              <w:t>.</w:t>
            </w:r>
          </w:p>
        </w:tc>
      </w:tr>
    </w:tbl>
    <w:p w14:paraId="735B7CCB"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17CF7242" w14:textId="77777777" w:rsidR="00EE4038" w:rsidRPr="00941D7C" w:rsidRDefault="00EE4038" w:rsidP="00EE4038">
      <w:r w:rsidRPr="00941D7C">
        <w:rPr>
          <w:rStyle w:val="HideTWBExt"/>
        </w:rPr>
        <w:t>&lt;/Amend&gt;</w:t>
      </w:r>
    </w:p>
    <w:p w14:paraId="0C5F00DB" w14:textId="41419A20"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69</w:t>
      </w:r>
      <w:r w:rsidRPr="00941D7C">
        <w:rPr>
          <w:rStyle w:val="HideTWBExt"/>
          <w:lang w:val="en-GB"/>
        </w:rPr>
        <w:t>&lt;/NumAm&gt;</w:t>
      </w:r>
    </w:p>
    <w:p w14:paraId="33B091D9"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17D805D4"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5</w:t>
      </w:r>
      <w:r w:rsidRPr="008C7353">
        <w:rPr>
          <w:rStyle w:val="HideTWBExt"/>
          <w:lang w:val="fr-FR"/>
        </w:rPr>
        <w:t>&lt;/Article&gt;</w:t>
      </w:r>
    </w:p>
    <w:p w14:paraId="5564613E" w14:textId="77777777" w:rsidR="00EE4038" w:rsidRPr="008C7353" w:rsidRDefault="00EE4038" w:rsidP="00EE4038">
      <w:pPr>
        <w:keepNext/>
        <w:rPr>
          <w:lang w:val="fr-FR"/>
        </w:rPr>
      </w:pPr>
      <w:r w:rsidRPr="008C7353">
        <w:rPr>
          <w:rStyle w:val="HideTWBExt"/>
          <w:lang w:val="fr-FR"/>
        </w:rPr>
        <w:t>&lt;DocAmend2&gt;</w:t>
      </w:r>
      <w:r w:rsidRPr="008C7353">
        <w:rPr>
          <w:lang w:val="fr-FR"/>
        </w:rPr>
        <w:t>Directive (EU) 2024/1760</w:t>
      </w:r>
      <w:r w:rsidRPr="008C7353">
        <w:rPr>
          <w:rStyle w:val="HideTWBExt"/>
          <w:lang w:val="fr-FR"/>
        </w:rPr>
        <w:t>&lt;/DocAmend2&gt;</w:t>
      </w:r>
    </w:p>
    <w:p w14:paraId="06F36F74" w14:textId="77777777" w:rsidR="00EE4038" w:rsidRPr="00941D7C" w:rsidRDefault="00EE4038" w:rsidP="00EE4038">
      <w:r w:rsidRPr="00941D7C">
        <w:rPr>
          <w:rStyle w:val="HideTWBExt"/>
        </w:rPr>
        <w:t>&lt;Article2&gt;</w:t>
      </w:r>
      <w:r w:rsidRPr="00941D7C">
        <w:t>Article 10 – paragraph 6 – subparagraph 3</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6AE66B56" w14:textId="77777777" w:rsidTr="00EE4038">
        <w:trPr>
          <w:jc w:val="center"/>
        </w:trPr>
        <w:tc>
          <w:tcPr>
            <w:tcW w:w="9752" w:type="dxa"/>
            <w:gridSpan w:val="2"/>
          </w:tcPr>
          <w:p w14:paraId="44076625" w14:textId="77777777" w:rsidR="00EE4038" w:rsidRPr="00941D7C" w:rsidRDefault="00EE4038">
            <w:pPr>
              <w:keepNext/>
            </w:pPr>
          </w:p>
        </w:tc>
      </w:tr>
      <w:tr w:rsidR="00EE4038" w:rsidRPr="00941D7C" w14:paraId="7D7C8682" w14:textId="77777777" w:rsidTr="00EE4038">
        <w:trPr>
          <w:jc w:val="center"/>
        </w:trPr>
        <w:tc>
          <w:tcPr>
            <w:tcW w:w="4876" w:type="dxa"/>
            <w:hideMark/>
          </w:tcPr>
          <w:p w14:paraId="24B0B08A"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29715FFF" w14:textId="77777777" w:rsidR="00EE4038" w:rsidRPr="00941D7C" w:rsidRDefault="00EE4038">
            <w:pPr>
              <w:pStyle w:val="ColumnHeading"/>
              <w:keepNext/>
              <w:rPr>
                <w:lang w:val="en-GB"/>
              </w:rPr>
            </w:pPr>
            <w:r w:rsidRPr="00941D7C">
              <w:rPr>
                <w:lang w:val="en-GB"/>
              </w:rPr>
              <w:t>Amendment</w:t>
            </w:r>
          </w:p>
        </w:tc>
      </w:tr>
      <w:tr w:rsidR="00EE4038" w:rsidRPr="00941D7C" w14:paraId="27D219C7" w14:textId="77777777" w:rsidTr="00EE4038">
        <w:trPr>
          <w:jc w:val="center"/>
        </w:trPr>
        <w:tc>
          <w:tcPr>
            <w:tcW w:w="4876" w:type="dxa"/>
            <w:hideMark/>
          </w:tcPr>
          <w:p w14:paraId="2D41375E" w14:textId="77777777" w:rsidR="00EE4038" w:rsidRPr="00941D7C" w:rsidRDefault="00EE4038">
            <w:pPr>
              <w:pStyle w:val="Normal6"/>
              <w:rPr>
                <w:lang w:val="en-GB"/>
              </w:rPr>
            </w:pPr>
            <w:r w:rsidRPr="00941D7C">
              <w:rPr>
                <w:lang w:val="en-GB"/>
              </w:rPr>
              <w:t xml:space="preserve">Prior to suspending a business relationship, the company shall assess whether the adverse impacts from doing so can be reasonably expected to be manifestly more severe than the adverse impact that could not be prevented or adequately mitigated. Should that be the case, the company shall not be required to suspend the business relationship and shall be </w:t>
            </w:r>
            <w:proofErr w:type="gramStart"/>
            <w:r w:rsidRPr="00941D7C">
              <w:rPr>
                <w:lang w:val="en-GB"/>
              </w:rPr>
              <w:t>in a position</w:t>
            </w:r>
            <w:proofErr w:type="gramEnd"/>
            <w:r w:rsidRPr="00941D7C">
              <w:rPr>
                <w:lang w:val="en-GB"/>
              </w:rPr>
              <w:t xml:space="preserve"> to report to the competent supervisory authority about the duly justified reasons for such decision.</w:t>
            </w:r>
          </w:p>
        </w:tc>
        <w:tc>
          <w:tcPr>
            <w:tcW w:w="4876" w:type="dxa"/>
            <w:hideMark/>
          </w:tcPr>
          <w:p w14:paraId="39F5DAA7" w14:textId="0CC2A016" w:rsidR="00EE4038" w:rsidRPr="00941D7C" w:rsidRDefault="00EE4038" w:rsidP="003C62C4">
            <w:pPr>
              <w:pStyle w:val="Normal6"/>
              <w:rPr>
                <w:szCs w:val="24"/>
                <w:lang w:val="en-GB"/>
              </w:rPr>
            </w:pPr>
            <w:r w:rsidRPr="00941D7C">
              <w:rPr>
                <w:lang w:val="en-GB"/>
              </w:rPr>
              <w:t xml:space="preserve">Prior to suspending a business relationship, the company shall assess </w:t>
            </w:r>
            <w:r w:rsidRPr="00941D7C">
              <w:rPr>
                <w:b/>
                <w:i/>
                <w:lang w:val="en-GB"/>
              </w:rPr>
              <w:t xml:space="preserve">whether </w:t>
            </w:r>
            <w:r w:rsidR="00587B18" w:rsidRPr="00941D7C">
              <w:rPr>
                <w:b/>
                <w:i/>
                <w:lang w:val="en-GB"/>
              </w:rPr>
              <w:t xml:space="preserve">such a </w:t>
            </w:r>
            <w:r w:rsidRPr="00941D7C">
              <w:rPr>
                <w:b/>
                <w:i/>
                <w:lang w:val="en-GB"/>
              </w:rPr>
              <w:t xml:space="preserve">suspension </w:t>
            </w:r>
            <w:r w:rsidR="00587B18" w:rsidRPr="00941D7C">
              <w:rPr>
                <w:b/>
                <w:i/>
                <w:lang w:val="en-GB"/>
              </w:rPr>
              <w:t xml:space="preserve">would </w:t>
            </w:r>
            <w:r w:rsidRPr="00941D7C">
              <w:rPr>
                <w:b/>
                <w:i/>
                <w:lang w:val="en-GB"/>
              </w:rPr>
              <w:t>cause substantial prejudice to the company or</w:t>
            </w:r>
            <w:r w:rsidRPr="00941D7C">
              <w:rPr>
                <w:lang w:val="en-GB"/>
              </w:rPr>
              <w:t xml:space="preserve"> whether the adverse impacts from doing so can be reasonably expected to be manifestly more severe than the adverse impact that could not be prevented or adequately mitigated. Should that be the case, the company shall not be required to suspend the business relationship and shall be </w:t>
            </w:r>
            <w:proofErr w:type="gramStart"/>
            <w:r w:rsidRPr="00941D7C">
              <w:rPr>
                <w:lang w:val="en-GB"/>
              </w:rPr>
              <w:t>in a position</w:t>
            </w:r>
            <w:proofErr w:type="gramEnd"/>
            <w:r w:rsidRPr="00941D7C">
              <w:rPr>
                <w:lang w:val="en-GB"/>
              </w:rPr>
              <w:t xml:space="preserve"> to report to the competent supervisory authority about the duly justified reasons for such decision.</w:t>
            </w:r>
          </w:p>
        </w:tc>
      </w:tr>
    </w:tbl>
    <w:p w14:paraId="4233AA5B"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531B2E56" w14:textId="77777777" w:rsidR="00EE4038" w:rsidRPr="00941D7C" w:rsidRDefault="00EE4038" w:rsidP="00EE4038">
      <w:r w:rsidRPr="00941D7C">
        <w:rPr>
          <w:rStyle w:val="HideTWBExt"/>
        </w:rPr>
        <w:t>&lt;/Amend&gt;</w:t>
      </w:r>
    </w:p>
    <w:p w14:paraId="54CD8BCE" w14:textId="21841308"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70</w:t>
      </w:r>
      <w:r w:rsidRPr="00941D7C">
        <w:rPr>
          <w:rStyle w:val="HideTWBExt"/>
          <w:lang w:val="en-GB"/>
        </w:rPr>
        <w:t>&lt;/NumAm&gt;</w:t>
      </w:r>
    </w:p>
    <w:p w14:paraId="6C79539F"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0589E949"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6</w:t>
      </w:r>
      <w:r w:rsidRPr="008C7353">
        <w:rPr>
          <w:rStyle w:val="HideTWBExt"/>
          <w:lang w:val="fr-FR"/>
        </w:rPr>
        <w:t>&lt;/Article&gt;</w:t>
      </w:r>
    </w:p>
    <w:p w14:paraId="16C74600" w14:textId="77777777" w:rsidR="00EE4038" w:rsidRPr="008C7353" w:rsidRDefault="00EE4038" w:rsidP="00EE4038">
      <w:pPr>
        <w:keepNext/>
        <w:rPr>
          <w:lang w:val="fr-FR"/>
        </w:rPr>
      </w:pPr>
      <w:r w:rsidRPr="008C7353">
        <w:rPr>
          <w:rStyle w:val="HideTWBExt"/>
          <w:lang w:val="fr-FR"/>
        </w:rPr>
        <w:t>&lt;DocAmend2&gt;</w:t>
      </w:r>
      <w:r w:rsidRPr="008C7353">
        <w:rPr>
          <w:lang w:val="fr-FR"/>
        </w:rPr>
        <w:t>Directive (EU) 2024/1760</w:t>
      </w:r>
      <w:r w:rsidRPr="008C7353">
        <w:rPr>
          <w:rStyle w:val="HideTWBExt"/>
          <w:lang w:val="fr-FR"/>
        </w:rPr>
        <w:t>&lt;/DocAmend2&gt;</w:t>
      </w:r>
    </w:p>
    <w:p w14:paraId="75D5357B" w14:textId="77777777" w:rsidR="00EE4038" w:rsidRPr="00941D7C" w:rsidRDefault="00EE4038" w:rsidP="00EE4038">
      <w:r w:rsidRPr="00941D7C">
        <w:rPr>
          <w:rStyle w:val="HideTWBExt"/>
        </w:rPr>
        <w:t>&lt;Article2&gt;</w:t>
      </w:r>
      <w:r w:rsidRPr="00941D7C">
        <w:t>Article 11 – paragraph 7 – subparagraph 1 – introductory part</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1359588C" w14:textId="77777777" w:rsidTr="00EE4038">
        <w:trPr>
          <w:jc w:val="center"/>
        </w:trPr>
        <w:tc>
          <w:tcPr>
            <w:tcW w:w="9752" w:type="dxa"/>
            <w:gridSpan w:val="2"/>
          </w:tcPr>
          <w:p w14:paraId="0F719477" w14:textId="77777777" w:rsidR="00EE4038" w:rsidRPr="00941D7C" w:rsidRDefault="00EE4038">
            <w:pPr>
              <w:keepNext/>
            </w:pPr>
          </w:p>
        </w:tc>
      </w:tr>
      <w:tr w:rsidR="00EE4038" w:rsidRPr="00941D7C" w14:paraId="3921A32C" w14:textId="77777777" w:rsidTr="00EE4038">
        <w:trPr>
          <w:jc w:val="center"/>
        </w:trPr>
        <w:tc>
          <w:tcPr>
            <w:tcW w:w="4876" w:type="dxa"/>
            <w:hideMark/>
          </w:tcPr>
          <w:p w14:paraId="65A6B8FE"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4813C2B6" w14:textId="77777777" w:rsidR="00EE4038" w:rsidRPr="00941D7C" w:rsidRDefault="00EE4038">
            <w:pPr>
              <w:pStyle w:val="ColumnHeading"/>
              <w:keepNext/>
              <w:rPr>
                <w:lang w:val="en-GB"/>
              </w:rPr>
            </w:pPr>
            <w:r w:rsidRPr="00941D7C">
              <w:rPr>
                <w:lang w:val="en-GB"/>
              </w:rPr>
              <w:t>Amendment</w:t>
            </w:r>
          </w:p>
        </w:tc>
      </w:tr>
      <w:tr w:rsidR="00EE4038" w:rsidRPr="00941D7C" w14:paraId="2AB62E54" w14:textId="77777777" w:rsidTr="00EE4038">
        <w:trPr>
          <w:jc w:val="center"/>
        </w:trPr>
        <w:tc>
          <w:tcPr>
            <w:tcW w:w="4876" w:type="dxa"/>
            <w:hideMark/>
          </w:tcPr>
          <w:p w14:paraId="5A7DADC4" w14:textId="62DAE5BB" w:rsidR="00EE4038" w:rsidRPr="00941D7C" w:rsidRDefault="00EE4038">
            <w:pPr>
              <w:pStyle w:val="Normal6"/>
              <w:rPr>
                <w:lang w:val="en-GB"/>
              </w:rPr>
            </w:pPr>
            <w:r w:rsidRPr="00941D7C">
              <w:rPr>
                <w:lang w:val="en-GB"/>
              </w:rPr>
              <w:t>‘7.</w:t>
            </w:r>
            <w:r w:rsidR="00E84907" w:rsidRPr="00941D7C">
              <w:rPr>
                <w:lang w:val="en-GB"/>
              </w:rPr>
              <w:tab/>
            </w:r>
            <w:r w:rsidRPr="00941D7C">
              <w:rPr>
                <w:lang w:val="en-GB"/>
              </w:rPr>
              <w:t xml:space="preserve">As regards actual adverse impacts as referred to in paragraph 1 that could not be </w:t>
            </w:r>
            <w:r w:rsidRPr="00941D7C">
              <w:rPr>
                <w:b/>
                <w:i/>
                <w:lang w:val="en-GB"/>
              </w:rPr>
              <w:t>prevented or adequately mitigated</w:t>
            </w:r>
            <w:r w:rsidRPr="00941D7C">
              <w:rPr>
                <w:lang w:val="en-GB"/>
              </w:rPr>
              <w:t xml:space="preserve"> by the measures set out in paragraphs 3, 5 and 6, the company shall, as a last resort:’</w:t>
            </w:r>
          </w:p>
        </w:tc>
        <w:tc>
          <w:tcPr>
            <w:tcW w:w="4876" w:type="dxa"/>
            <w:hideMark/>
          </w:tcPr>
          <w:p w14:paraId="22802FCA" w14:textId="02AC303F" w:rsidR="00EE4038" w:rsidRPr="00941D7C" w:rsidRDefault="00EE4038">
            <w:pPr>
              <w:pStyle w:val="Normal6"/>
              <w:rPr>
                <w:szCs w:val="24"/>
                <w:lang w:val="en-GB"/>
              </w:rPr>
            </w:pPr>
            <w:r w:rsidRPr="00941D7C">
              <w:rPr>
                <w:lang w:val="en-GB"/>
              </w:rPr>
              <w:t>‘7.</w:t>
            </w:r>
            <w:r w:rsidR="00E84907" w:rsidRPr="00941D7C">
              <w:rPr>
                <w:lang w:val="en-GB"/>
              </w:rPr>
              <w:tab/>
            </w:r>
            <w:r w:rsidRPr="00941D7C">
              <w:rPr>
                <w:lang w:val="en-GB"/>
              </w:rPr>
              <w:t xml:space="preserve">As regards actual adverse impacts as referred to in paragraph 1 that could not be </w:t>
            </w:r>
            <w:proofErr w:type="gramStart"/>
            <w:r w:rsidRPr="00941D7C">
              <w:rPr>
                <w:b/>
                <w:i/>
                <w:lang w:val="en-GB"/>
              </w:rPr>
              <w:t>brought to an end</w:t>
            </w:r>
            <w:proofErr w:type="gramEnd"/>
            <w:r w:rsidRPr="00941D7C">
              <w:rPr>
                <w:b/>
                <w:i/>
                <w:lang w:val="en-GB"/>
              </w:rPr>
              <w:t xml:space="preserve"> or the extent of which could not be minimised</w:t>
            </w:r>
            <w:r w:rsidRPr="00941D7C">
              <w:rPr>
                <w:lang w:val="en-GB"/>
              </w:rPr>
              <w:t xml:space="preserve"> by the measures set out in paragraphs 3, 5 and 6, the company shall, as a last resort:’</w:t>
            </w:r>
          </w:p>
        </w:tc>
      </w:tr>
    </w:tbl>
    <w:p w14:paraId="2A1C0D1B"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112F8E51" w14:textId="77777777" w:rsidR="00EE4038" w:rsidRPr="00941D7C" w:rsidRDefault="00EE4038" w:rsidP="00EE4038">
      <w:r w:rsidRPr="00941D7C">
        <w:rPr>
          <w:rStyle w:val="HideTWBExt"/>
        </w:rPr>
        <w:t>&lt;/Amend&gt;</w:t>
      </w:r>
    </w:p>
    <w:p w14:paraId="6873742B" w14:textId="22C39749"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71</w:t>
      </w:r>
      <w:r w:rsidRPr="00941D7C">
        <w:rPr>
          <w:rStyle w:val="HideTWBExt"/>
          <w:lang w:val="en-GB"/>
        </w:rPr>
        <w:t>&lt;/NumAm&gt;</w:t>
      </w:r>
    </w:p>
    <w:p w14:paraId="303C7F0C"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1BE2B8A4"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6</w:t>
      </w:r>
      <w:r w:rsidRPr="008C7353">
        <w:rPr>
          <w:rStyle w:val="HideTWBExt"/>
          <w:lang w:val="fr-FR"/>
        </w:rPr>
        <w:t>&lt;/Article&gt;</w:t>
      </w:r>
    </w:p>
    <w:p w14:paraId="63D237C7" w14:textId="77777777" w:rsidR="00EE4038" w:rsidRPr="008C7353" w:rsidRDefault="00EE4038" w:rsidP="00EE4038">
      <w:pPr>
        <w:keepNext/>
        <w:rPr>
          <w:lang w:val="fr-FR"/>
        </w:rPr>
      </w:pPr>
      <w:r w:rsidRPr="008C7353">
        <w:rPr>
          <w:rStyle w:val="HideTWBExt"/>
          <w:lang w:val="fr-FR"/>
        </w:rPr>
        <w:t>&lt;DocAmend2&gt;</w:t>
      </w:r>
      <w:r w:rsidRPr="008C7353">
        <w:rPr>
          <w:lang w:val="fr-FR"/>
        </w:rPr>
        <w:t>Directive (EU) 2024/1760</w:t>
      </w:r>
      <w:r w:rsidRPr="008C7353">
        <w:rPr>
          <w:rStyle w:val="HideTWBExt"/>
          <w:lang w:val="fr-FR"/>
        </w:rPr>
        <w:t>&lt;/DocAmend2&gt;</w:t>
      </w:r>
    </w:p>
    <w:p w14:paraId="12B2C315" w14:textId="77777777" w:rsidR="00EE4038" w:rsidRPr="008C7353" w:rsidRDefault="00EE4038" w:rsidP="00EE4038">
      <w:pPr>
        <w:rPr>
          <w:lang w:val="fr-FR"/>
        </w:rPr>
      </w:pPr>
      <w:r w:rsidRPr="008C7353">
        <w:rPr>
          <w:rStyle w:val="HideTWBExt"/>
          <w:lang w:val="fr-FR"/>
        </w:rPr>
        <w:t>&lt;Article2&gt;</w:t>
      </w:r>
      <w:r w:rsidRPr="008C7353">
        <w:rPr>
          <w:lang w:val="fr-FR"/>
        </w:rPr>
        <w:t>Article 11 – paragraph 7 – subparagraph 1 – point b</w:t>
      </w:r>
      <w:r w:rsidRPr="008C7353">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8C7353" w14:paraId="727429C9" w14:textId="77777777" w:rsidTr="00EE4038">
        <w:trPr>
          <w:jc w:val="center"/>
        </w:trPr>
        <w:tc>
          <w:tcPr>
            <w:tcW w:w="9752" w:type="dxa"/>
            <w:gridSpan w:val="2"/>
          </w:tcPr>
          <w:p w14:paraId="6EF2C4C8" w14:textId="77777777" w:rsidR="00EE4038" w:rsidRPr="008C7353" w:rsidRDefault="00EE4038">
            <w:pPr>
              <w:keepNext/>
              <w:rPr>
                <w:lang w:val="fr-FR"/>
              </w:rPr>
            </w:pPr>
          </w:p>
        </w:tc>
      </w:tr>
      <w:tr w:rsidR="00EE4038" w:rsidRPr="00941D7C" w14:paraId="7428D74F" w14:textId="77777777" w:rsidTr="00EE4038">
        <w:trPr>
          <w:jc w:val="center"/>
        </w:trPr>
        <w:tc>
          <w:tcPr>
            <w:tcW w:w="4876" w:type="dxa"/>
            <w:hideMark/>
          </w:tcPr>
          <w:p w14:paraId="6D73EB0B"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130CFBE9" w14:textId="77777777" w:rsidR="00EE4038" w:rsidRPr="00941D7C" w:rsidRDefault="00EE4038">
            <w:pPr>
              <w:pStyle w:val="ColumnHeading"/>
              <w:keepNext/>
              <w:rPr>
                <w:lang w:val="en-GB"/>
              </w:rPr>
            </w:pPr>
            <w:r w:rsidRPr="00941D7C">
              <w:rPr>
                <w:lang w:val="en-GB"/>
              </w:rPr>
              <w:t>Amendment</w:t>
            </w:r>
          </w:p>
        </w:tc>
      </w:tr>
      <w:tr w:rsidR="00EE4038" w:rsidRPr="00941D7C" w14:paraId="4056D086" w14:textId="77777777" w:rsidTr="00EE4038">
        <w:trPr>
          <w:jc w:val="center"/>
        </w:trPr>
        <w:tc>
          <w:tcPr>
            <w:tcW w:w="4876" w:type="dxa"/>
            <w:hideMark/>
          </w:tcPr>
          <w:p w14:paraId="5DD8DE58" w14:textId="77777777" w:rsidR="00EE4038" w:rsidRPr="00941D7C" w:rsidRDefault="00EE4038">
            <w:pPr>
              <w:pStyle w:val="Normal6"/>
              <w:rPr>
                <w:lang w:val="en-GB"/>
              </w:rPr>
            </w:pPr>
            <w:r w:rsidRPr="00941D7C">
              <w:rPr>
                <w:lang w:val="en-GB"/>
              </w:rPr>
              <w:t>(b)</w:t>
            </w:r>
            <w:r w:rsidRPr="00941D7C">
              <w:rPr>
                <w:lang w:val="en-GB"/>
              </w:rPr>
              <w:tab/>
              <w:t xml:space="preserve">where the law governing its </w:t>
            </w:r>
            <w:proofErr w:type="gramStart"/>
            <w:r w:rsidRPr="00941D7C">
              <w:rPr>
                <w:lang w:val="en-GB"/>
              </w:rPr>
              <w:t>relation</w:t>
            </w:r>
            <w:proofErr w:type="gramEnd"/>
            <w:r w:rsidRPr="00941D7C">
              <w:rPr>
                <w:lang w:val="en-GB"/>
              </w:rPr>
              <w:t xml:space="preserve"> with the business partner concerned so entitles it, adopt and implement an enhanced </w:t>
            </w:r>
            <w:r w:rsidRPr="00941D7C">
              <w:rPr>
                <w:b/>
                <w:i/>
                <w:lang w:val="en-GB"/>
              </w:rPr>
              <w:t>prevention</w:t>
            </w:r>
            <w:r w:rsidRPr="00941D7C">
              <w:rPr>
                <w:lang w:val="en-GB"/>
              </w:rPr>
              <w:t xml:space="preserve"> action plan for the specific adverse impact without undue delay, provided that there is a reasonable expectation that those efforts will succeed, and</w:t>
            </w:r>
          </w:p>
        </w:tc>
        <w:tc>
          <w:tcPr>
            <w:tcW w:w="4876" w:type="dxa"/>
            <w:hideMark/>
          </w:tcPr>
          <w:p w14:paraId="63D6BE7E" w14:textId="77777777" w:rsidR="00EE4038" w:rsidRPr="00941D7C" w:rsidRDefault="00EE4038">
            <w:pPr>
              <w:pStyle w:val="Normal6"/>
              <w:rPr>
                <w:szCs w:val="24"/>
                <w:lang w:val="en-GB"/>
              </w:rPr>
            </w:pPr>
            <w:r w:rsidRPr="00941D7C">
              <w:rPr>
                <w:lang w:val="en-GB"/>
              </w:rPr>
              <w:t>(b)</w:t>
            </w:r>
            <w:r w:rsidRPr="00941D7C">
              <w:rPr>
                <w:lang w:val="en-GB"/>
              </w:rPr>
              <w:tab/>
              <w:t xml:space="preserve">where the law governing its </w:t>
            </w:r>
            <w:proofErr w:type="gramStart"/>
            <w:r w:rsidRPr="00941D7C">
              <w:rPr>
                <w:lang w:val="en-GB"/>
              </w:rPr>
              <w:t>relation</w:t>
            </w:r>
            <w:proofErr w:type="gramEnd"/>
            <w:r w:rsidRPr="00941D7C">
              <w:rPr>
                <w:lang w:val="en-GB"/>
              </w:rPr>
              <w:t xml:space="preserve"> with the business partner concerned so entitles it, adopt and implement an enhanced </w:t>
            </w:r>
            <w:r w:rsidRPr="00941D7C">
              <w:rPr>
                <w:b/>
                <w:i/>
                <w:lang w:val="en-GB"/>
              </w:rPr>
              <w:t>corrective</w:t>
            </w:r>
            <w:r w:rsidRPr="00941D7C">
              <w:rPr>
                <w:lang w:val="en-GB"/>
              </w:rPr>
              <w:t xml:space="preserve"> action plan for the specific adverse impact without undue delay, provided that there is a reasonable expectation that those efforts will succeed, and</w:t>
            </w:r>
          </w:p>
        </w:tc>
      </w:tr>
    </w:tbl>
    <w:p w14:paraId="5D8A7BF8"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24C2CA63" w14:textId="77777777" w:rsidR="00EE4038" w:rsidRPr="00941D7C" w:rsidRDefault="00EE4038" w:rsidP="00EE4038">
      <w:r w:rsidRPr="00941D7C">
        <w:rPr>
          <w:rStyle w:val="HideTWBExt"/>
        </w:rPr>
        <w:t>&lt;/Amend&gt;</w:t>
      </w:r>
    </w:p>
    <w:p w14:paraId="5FDB0404" w14:textId="448FA06A"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72</w:t>
      </w:r>
      <w:r w:rsidRPr="00941D7C">
        <w:rPr>
          <w:rStyle w:val="HideTWBExt"/>
          <w:lang w:val="en-GB"/>
        </w:rPr>
        <w:t>&lt;/NumAm&gt;</w:t>
      </w:r>
    </w:p>
    <w:p w14:paraId="7035F54D"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611081BB"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6</w:t>
      </w:r>
      <w:r w:rsidRPr="008C7353">
        <w:rPr>
          <w:rStyle w:val="HideTWBExt"/>
          <w:lang w:val="fr-FR"/>
        </w:rPr>
        <w:t>&lt;/Article&gt;</w:t>
      </w:r>
    </w:p>
    <w:p w14:paraId="514DDF64" w14:textId="77777777" w:rsidR="00EE4038" w:rsidRPr="008C7353" w:rsidRDefault="00EE4038" w:rsidP="00EE4038">
      <w:pPr>
        <w:keepNext/>
        <w:rPr>
          <w:lang w:val="fr-FR"/>
        </w:rPr>
      </w:pPr>
      <w:r w:rsidRPr="008C7353">
        <w:rPr>
          <w:rStyle w:val="HideTWBExt"/>
          <w:lang w:val="fr-FR"/>
        </w:rPr>
        <w:t>&lt;DocAmend2&gt;</w:t>
      </w:r>
      <w:r w:rsidRPr="008C7353">
        <w:rPr>
          <w:lang w:val="fr-FR"/>
        </w:rPr>
        <w:t>Directive (EU) 2024/1760</w:t>
      </w:r>
      <w:r w:rsidRPr="008C7353">
        <w:rPr>
          <w:rStyle w:val="HideTWBExt"/>
          <w:lang w:val="fr-FR"/>
        </w:rPr>
        <w:t>&lt;/DocAmend2&gt;</w:t>
      </w:r>
    </w:p>
    <w:p w14:paraId="337FCDDB" w14:textId="77777777" w:rsidR="00EE4038" w:rsidRPr="00941D7C" w:rsidRDefault="00EE4038" w:rsidP="00EE4038">
      <w:r w:rsidRPr="00941D7C">
        <w:rPr>
          <w:rStyle w:val="HideTWBExt"/>
        </w:rPr>
        <w:t>&lt;Article2&gt;</w:t>
      </w:r>
      <w:r w:rsidRPr="00941D7C">
        <w:t>Article 11 – paragraph 7 – subparagraph 2</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7B175924" w14:textId="77777777" w:rsidTr="00EE4038">
        <w:trPr>
          <w:jc w:val="center"/>
        </w:trPr>
        <w:tc>
          <w:tcPr>
            <w:tcW w:w="9752" w:type="dxa"/>
            <w:gridSpan w:val="2"/>
          </w:tcPr>
          <w:p w14:paraId="49090BD2" w14:textId="77777777" w:rsidR="00EE4038" w:rsidRPr="00941D7C" w:rsidRDefault="00EE4038">
            <w:pPr>
              <w:keepNext/>
            </w:pPr>
          </w:p>
        </w:tc>
      </w:tr>
      <w:tr w:rsidR="00EE4038" w:rsidRPr="00941D7C" w14:paraId="401EFED0" w14:textId="77777777" w:rsidTr="00EE4038">
        <w:trPr>
          <w:jc w:val="center"/>
        </w:trPr>
        <w:tc>
          <w:tcPr>
            <w:tcW w:w="4876" w:type="dxa"/>
            <w:hideMark/>
          </w:tcPr>
          <w:p w14:paraId="49C3C2D2"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7615DF28" w14:textId="77777777" w:rsidR="00EE4038" w:rsidRPr="00941D7C" w:rsidRDefault="00EE4038">
            <w:pPr>
              <w:pStyle w:val="ColumnHeading"/>
              <w:keepNext/>
              <w:rPr>
                <w:lang w:val="en-GB"/>
              </w:rPr>
            </w:pPr>
            <w:r w:rsidRPr="00941D7C">
              <w:rPr>
                <w:lang w:val="en-GB"/>
              </w:rPr>
              <w:t>Amendment</w:t>
            </w:r>
          </w:p>
        </w:tc>
      </w:tr>
      <w:tr w:rsidR="00EE4038" w:rsidRPr="00941D7C" w14:paraId="0D76EC5E" w14:textId="77777777" w:rsidTr="00EE4038">
        <w:trPr>
          <w:jc w:val="center"/>
        </w:trPr>
        <w:tc>
          <w:tcPr>
            <w:tcW w:w="4876" w:type="dxa"/>
            <w:hideMark/>
          </w:tcPr>
          <w:p w14:paraId="00224004" w14:textId="77777777" w:rsidR="00EE4038" w:rsidRPr="00941D7C" w:rsidRDefault="00EE4038">
            <w:pPr>
              <w:pStyle w:val="Normal6"/>
              <w:rPr>
                <w:lang w:val="en-GB"/>
              </w:rPr>
            </w:pPr>
            <w:proofErr w:type="gramStart"/>
            <w:r w:rsidRPr="00941D7C">
              <w:rPr>
                <w:lang w:val="en-GB"/>
              </w:rPr>
              <w:t>As long as</w:t>
            </w:r>
            <w:proofErr w:type="gramEnd"/>
            <w:r w:rsidRPr="00941D7C">
              <w:rPr>
                <w:lang w:val="en-GB"/>
              </w:rPr>
              <w:t xml:space="preserve"> there is a reasonable expectation that the enhanced </w:t>
            </w:r>
            <w:r w:rsidRPr="00941D7C">
              <w:rPr>
                <w:b/>
                <w:i/>
                <w:lang w:val="en-GB"/>
              </w:rPr>
              <w:t>prevention</w:t>
            </w:r>
            <w:r w:rsidRPr="00941D7C">
              <w:rPr>
                <w:lang w:val="en-GB"/>
              </w:rPr>
              <w:t xml:space="preserve"> action plan will succeed, the mere fact of continuing to engage with the business partner shall not </w:t>
            </w:r>
            <w:r w:rsidRPr="00941D7C">
              <w:rPr>
                <w:b/>
                <w:i/>
                <w:lang w:val="en-GB"/>
              </w:rPr>
              <w:t>trigger the company’s</w:t>
            </w:r>
            <w:r w:rsidRPr="00941D7C">
              <w:rPr>
                <w:lang w:val="en-GB"/>
              </w:rPr>
              <w:t xml:space="preserve"> liability.</w:t>
            </w:r>
          </w:p>
        </w:tc>
        <w:tc>
          <w:tcPr>
            <w:tcW w:w="4876" w:type="dxa"/>
            <w:hideMark/>
          </w:tcPr>
          <w:p w14:paraId="3CFE93BF" w14:textId="77777777" w:rsidR="00EE4038" w:rsidRPr="00941D7C" w:rsidRDefault="00EE4038">
            <w:pPr>
              <w:pStyle w:val="Normal6"/>
              <w:rPr>
                <w:szCs w:val="24"/>
                <w:lang w:val="en-GB"/>
              </w:rPr>
            </w:pPr>
            <w:proofErr w:type="gramStart"/>
            <w:r w:rsidRPr="00941D7C">
              <w:rPr>
                <w:lang w:val="en-GB"/>
              </w:rPr>
              <w:t>As long as</w:t>
            </w:r>
            <w:proofErr w:type="gramEnd"/>
            <w:r w:rsidRPr="00941D7C">
              <w:rPr>
                <w:lang w:val="en-GB"/>
              </w:rPr>
              <w:t xml:space="preserve"> there is a reasonable expectation that the enhanced </w:t>
            </w:r>
            <w:r w:rsidRPr="00941D7C">
              <w:rPr>
                <w:b/>
                <w:i/>
                <w:lang w:val="en-GB"/>
              </w:rPr>
              <w:t>corrective</w:t>
            </w:r>
            <w:r w:rsidRPr="00941D7C">
              <w:rPr>
                <w:lang w:val="en-GB"/>
              </w:rPr>
              <w:t xml:space="preserve"> action plan will succeed, the mere fact of continuing to engage with the business partner shall not </w:t>
            </w:r>
            <w:r w:rsidRPr="00941D7C">
              <w:rPr>
                <w:b/>
                <w:i/>
                <w:lang w:val="en-GB"/>
              </w:rPr>
              <w:t>expose the company to penalties pursuant to Article 27 or to</w:t>
            </w:r>
            <w:r w:rsidRPr="00941D7C">
              <w:rPr>
                <w:lang w:val="en-GB"/>
              </w:rPr>
              <w:t xml:space="preserve"> liability </w:t>
            </w:r>
            <w:r w:rsidRPr="00941D7C">
              <w:rPr>
                <w:b/>
                <w:i/>
                <w:lang w:val="en-GB"/>
              </w:rPr>
              <w:t>pursuant to Article 29</w:t>
            </w:r>
            <w:r w:rsidRPr="00941D7C">
              <w:rPr>
                <w:lang w:val="en-GB"/>
              </w:rPr>
              <w:t>.</w:t>
            </w:r>
          </w:p>
        </w:tc>
      </w:tr>
    </w:tbl>
    <w:p w14:paraId="26569C2E"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63B255DE" w14:textId="77777777" w:rsidR="00EE4038" w:rsidRPr="00941D7C" w:rsidRDefault="00EE4038" w:rsidP="00EE4038">
      <w:r w:rsidRPr="00941D7C">
        <w:rPr>
          <w:rStyle w:val="HideTWBExt"/>
        </w:rPr>
        <w:t>&lt;/Amend&gt;</w:t>
      </w:r>
    </w:p>
    <w:p w14:paraId="4B951897" w14:textId="5509EBA2"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73</w:t>
      </w:r>
      <w:r w:rsidRPr="00941D7C">
        <w:rPr>
          <w:rStyle w:val="HideTWBExt"/>
          <w:lang w:val="en-GB"/>
        </w:rPr>
        <w:t>&lt;/NumAm&gt;</w:t>
      </w:r>
    </w:p>
    <w:p w14:paraId="31DD24C2"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0BD80065"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6</w:t>
      </w:r>
      <w:r w:rsidRPr="008C7353">
        <w:rPr>
          <w:rStyle w:val="HideTWBExt"/>
          <w:lang w:val="fr-FR"/>
        </w:rPr>
        <w:t>&lt;/Article&gt;</w:t>
      </w:r>
    </w:p>
    <w:p w14:paraId="7893D4F7" w14:textId="77777777" w:rsidR="00EE4038" w:rsidRPr="008C7353" w:rsidRDefault="00EE4038" w:rsidP="00EE4038">
      <w:pPr>
        <w:keepNext/>
        <w:rPr>
          <w:lang w:val="fr-FR"/>
        </w:rPr>
      </w:pPr>
      <w:r w:rsidRPr="008C7353">
        <w:rPr>
          <w:rStyle w:val="HideTWBExt"/>
          <w:lang w:val="fr-FR"/>
        </w:rPr>
        <w:t>&lt;DocAmend2&gt;</w:t>
      </w:r>
      <w:r w:rsidRPr="008C7353">
        <w:rPr>
          <w:lang w:val="fr-FR"/>
        </w:rPr>
        <w:t>Directive (EU) 2024/1760</w:t>
      </w:r>
      <w:r w:rsidRPr="008C7353">
        <w:rPr>
          <w:rStyle w:val="HideTWBExt"/>
          <w:lang w:val="fr-FR"/>
        </w:rPr>
        <w:t>&lt;/DocAmend2&gt;</w:t>
      </w:r>
    </w:p>
    <w:p w14:paraId="5A5E035C" w14:textId="77777777" w:rsidR="00EE4038" w:rsidRPr="00941D7C" w:rsidRDefault="00EE4038" w:rsidP="00EE4038">
      <w:r w:rsidRPr="00941D7C">
        <w:rPr>
          <w:rStyle w:val="HideTWBExt"/>
        </w:rPr>
        <w:t>&lt;Article2&gt;</w:t>
      </w:r>
      <w:r w:rsidRPr="00941D7C">
        <w:t>Article 11 – paragraph 7 – subparagraph 3</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0513BEF1" w14:textId="77777777" w:rsidTr="00EE4038">
        <w:trPr>
          <w:jc w:val="center"/>
        </w:trPr>
        <w:tc>
          <w:tcPr>
            <w:tcW w:w="9752" w:type="dxa"/>
            <w:gridSpan w:val="2"/>
          </w:tcPr>
          <w:p w14:paraId="63B3D588" w14:textId="77777777" w:rsidR="00EE4038" w:rsidRPr="00941D7C" w:rsidRDefault="00EE4038">
            <w:pPr>
              <w:keepNext/>
            </w:pPr>
          </w:p>
        </w:tc>
      </w:tr>
      <w:tr w:rsidR="00EE4038" w:rsidRPr="00941D7C" w14:paraId="74928EB5" w14:textId="77777777" w:rsidTr="00EE4038">
        <w:trPr>
          <w:jc w:val="center"/>
        </w:trPr>
        <w:tc>
          <w:tcPr>
            <w:tcW w:w="4876" w:type="dxa"/>
            <w:hideMark/>
          </w:tcPr>
          <w:p w14:paraId="6190D2AE"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0BEF40B8" w14:textId="77777777" w:rsidR="00EE4038" w:rsidRPr="00941D7C" w:rsidRDefault="00EE4038">
            <w:pPr>
              <w:pStyle w:val="ColumnHeading"/>
              <w:keepNext/>
              <w:rPr>
                <w:lang w:val="en-GB"/>
              </w:rPr>
            </w:pPr>
            <w:r w:rsidRPr="00941D7C">
              <w:rPr>
                <w:lang w:val="en-GB"/>
              </w:rPr>
              <w:t>Amendment</w:t>
            </w:r>
          </w:p>
        </w:tc>
      </w:tr>
      <w:tr w:rsidR="00EE4038" w:rsidRPr="00941D7C" w14:paraId="14F8C1A8" w14:textId="77777777" w:rsidTr="00EE4038">
        <w:trPr>
          <w:jc w:val="center"/>
        </w:trPr>
        <w:tc>
          <w:tcPr>
            <w:tcW w:w="4876" w:type="dxa"/>
            <w:hideMark/>
          </w:tcPr>
          <w:p w14:paraId="3579BAFA" w14:textId="77777777" w:rsidR="00EE4038" w:rsidRPr="00941D7C" w:rsidRDefault="00EE4038">
            <w:pPr>
              <w:pStyle w:val="Normal6"/>
              <w:rPr>
                <w:lang w:val="en-GB"/>
              </w:rPr>
            </w:pPr>
            <w:r w:rsidRPr="00941D7C">
              <w:rPr>
                <w:lang w:val="en-GB"/>
              </w:rPr>
              <w:t xml:space="preserve">Prior to suspending a business relationship, the company shall assess whether the adverse impacts from doing so can be reasonably expected to be manifestly more severe than the adverse impact that could not be </w:t>
            </w:r>
            <w:r w:rsidRPr="00941D7C">
              <w:rPr>
                <w:b/>
                <w:i/>
                <w:lang w:val="en-GB"/>
              </w:rPr>
              <w:t>prevented or</w:t>
            </w:r>
            <w:r w:rsidRPr="00941D7C">
              <w:rPr>
                <w:lang w:val="en-GB"/>
              </w:rPr>
              <w:t xml:space="preserve"> adequately </w:t>
            </w:r>
            <w:r w:rsidRPr="00941D7C">
              <w:rPr>
                <w:b/>
                <w:i/>
                <w:lang w:val="en-GB"/>
              </w:rPr>
              <w:t>mitigated</w:t>
            </w:r>
            <w:r w:rsidRPr="00941D7C">
              <w:rPr>
                <w:lang w:val="en-GB"/>
              </w:rPr>
              <w:t xml:space="preserve">. Should that be the case, the company shall not be required to suspend the business relationship and shall be </w:t>
            </w:r>
            <w:proofErr w:type="gramStart"/>
            <w:r w:rsidRPr="00941D7C">
              <w:rPr>
                <w:lang w:val="en-GB"/>
              </w:rPr>
              <w:t>in a position</w:t>
            </w:r>
            <w:proofErr w:type="gramEnd"/>
            <w:r w:rsidRPr="00941D7C">
              <w:rPr>
                <w:lang w:val="en-GB"/>
              </w:rPr>
              <w:t xml:space="preserve"> to report to the competent supervisory authority about the duly justified reasons for such decision.</w:t>
            </w:r>
          </w:p>
        </w:tc>
        <w:tc>
          <w:tcPr>
            <w:tcW w:w="4876" w:type="dxa"/>
            <w:hideMark/>
          </w:tcPr>
          <w:p w14:paraId="1A06E12A" w14:textId="78A1799E" w:rsidR="00EE4038" w:rsidRPr="00941D7C" w:rsidRDefault="00EE4038">
            <w:pPr>
              <w:pStyle w:val="Normal6"/>
              <w:rPr>
                <w:szCs w:val="24"/>
                <w:lang w:val="en-GB"/>
              </w:rPr>
            </w:pPr>
            <w:r w:rsidRPr="00941D7C">
              <w:rPr>
                <w:lang w:val="en-GB"/>
              </w:rPr>
              <w:t xml:space="preserve">Prior to suspending a business relationship, the company shall assess </w:t>
            </w:r>
            <w:r w:rsidRPr="00941D7C">
              <w:rPr>
                <w:b/>
                <w:i/>
                <w:lang w:val="en-GB"/>
              </w:rPr>
              <w:t xml:space="preserve">whether </w:t>
            </w:r>
            <w:r w:rsidR="00587B18" w:rsidRPr="00941D7C">
              <w:rPr>
                <w:b/>
                <w:i/>
                <w:lang w:val="en-GB"/>
              </w:rPr>
              <w:t xml:space="preserve">such a </w:t>
            </w:r>
            <w:r w:rsidRPr="00941D7C">
              <w:rPr>
                <w:b/>
                <w:i/>
                <w:lang w:val="en-GB"/>
              </w:rPr>
              <w:t xml:space="preserve">suspension </w:t>
            </w:r>
            <w:r w:rsidR="00587B18" w:rsidRPr="00941D7C">
              <w:rPr>
                <w:b/>
                <w:i/>
                <w:lang w:val="en-GB"/>
              </w:rPr>
              <w:t xml:space="preserve">would </w:t>
            </w:r>
            <w:r w:rsidRPr="00941D7C">
              <w:rPr>
                <w:b/>
                <w:i/>
                <w:lang w:val="en-GB"/>
              </w:rPr>
              <w:t>cause substantial prejudice to the company or</w:t>
            </w:r>
            <w:r w:rsidRPr="00941D7C">
              <w:rPr>
                <w:lang w:val="en-GB"/>
              </w:rPr>
              <w:t xml:space="preserve"> whether the adverse impacts from doing so can be reasonably expected to be manifestly more severe than the adverse impact that could not be </w:t>
            </w:r>
            <w:proofErr w:type="gramStart"/>
            <w:r w:rsidRPr="00941D7C">
              <w:rPr>
                <w:b/>
                <w:i/>
                <w:lang w:val="en-GB"/>
              </w:rPr>
              <w:t>brought to an end</w:t>
            </w:r>
            <w:proofErr w:type="gramEnd"/>
            <w:r w:rsidRPr="00941D7C">
              <w:rPr>
                <w:b/>
                <w:i/>
                <w:lang w:val="en-GB"/>
              </w:rPr>
              <w:t xml:space="preserve"> or the extent of which could not be</w:t>
            </w:r>
            <w:r w:rsidRPr="00941D7C">
              <w:rPr>
                <w:lang w:val="en-GB"/>
              </w:rPr>
              <w:t xml:space="preserve"> adequately </w:t>
            </w:r>
            <w:r w:rsidRPr="00941D7C">
              <w:rPr>
                <w:b/>
                <w:i/>
                <w:lang w:val="en-GB"/>
              </w:rPr>
              <w:t>minimised</w:t>
            </w:r>
            <w:r w:rsidRPr="00941D7C">
              <w:rPr>
                <w:lang w:val="en-GB"/>
              </w:rPr>
              <w:t xml:space="preserve">. Should that be the case, the company shall not be required to suspend the business relationship and shall be </w:t>
            </w:r>
            <w:proofErr w:type="gramStart"/>
            <w:r w:rsidRPr="00941D7C">
              <w:rPr>
                <w:lang w:val="en-GB"/>
              </w:rPr>
              <w:t>in a position</w:t>
            </w:r>
            <w:proofErr w:type="gramEnd"/>
            <w:r w:rsidRPr="00941D7C">
              <w:rPr>
                <w:lang w:val="en-GB"/>
              </w:rPr>
              <w:t xml:space="preserve"> to report to the competent supervisory authority about the duly justified reasons for such decision.</w:t>
            </w:r>
          </w:p>
        </w:tc>
      </w:tr>
    </w:tbl>
    <w:p w14:paraId="262A02C1"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34B86CD9" w14:textId="77777777" w:rsidR="00EE4038" w:rsidRPr="00941D7C" w:rsidRDefault="00EE4038" w:rsidP="00EE4038">
      <w:r w:rsidRPr="00941D7C">
        <w:rPr>
          <w:rStyle w:val="HideTWBExt"/>
        </w:rPr>
        <w:t>&lt;/Amend&gt;</w:t>
      </w:r>
    </w:p>
    <w:p w14:paraId="2234864B" w14:textId="65C3A572"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74</w:t>
      </w:r>
      <w:r w:rsidRPr="00941D7C">
        <w:rPr>
          <w:rStyle w:val="HideTWBExt"/>
          <w:lang w:val="en-GB"/>
        </w:rPr>
        <w:t>&lt;/NumAm&gt;</w:t>
      </w:r>
    </w:p>
    <w:p w14:paraId="5410AD55"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1ED677AA"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6</w:t>
      </w:r>
      <w:r w:rsidRPr="008C7353">
        <w:rPr>
          <w:rStyle w:val="HideTWBExt"/>
          <w:lang w:val="fr-FR"/>
        </w:rPr>
        <w:t>&lt;/Article&gt;</w:t>
      </w:r>
    </w:p>
    <w:p w14:paraId="24B969CF" w14:textId="77777777" w:rsidR="00EE4038" w:rsidRPr="008C7353" w:rsidRDefault="00EE4038" w:rsidP="00EE4038">
      <w:pPr>
        <w:keepNext/>
        <w:rPr>
          <w:lang w:val="fr-FR"/>
        </w:rPr>
      </w:pPr>
      <w:r w:rsidRPr="008C7353">
        <w:rPr>
          <w:rStyle w:val="HideTWBExt"/>
          <w:lang w:val="fr-FR"/>
        </w:rPr>
        <w:t>&lt;DocAmend2&gt;</w:t>
      </w:r>
      <w:r w:rsidRPr="008C7353">
        <w:rPr>
          <w:lang w:val="fr-FR"/>
        </w:rPr>
        <w:t>Directive (EU) 2024/1760</w:t>
      </w:r>
      <w:r w:rsidRPr="008C7353">
        <w:rPr>
          <w:rStyle w:val="HideTWBExt"/>
          <w:lang w:val="fr-FR"/>
        </w:rPr>
        <w:t>&lt;/DocAmend2&gt;</w:t>
      </w:r>
    </w:p>
    <w:p w14:paraId="781CF4C0" w14:textId="77777777" w:rsidR="00EE4038" w:rsidRPr="00941D7C" w:rsidRDefault="00EE4038" w:rsidP="00EE4038">
      <w:r w:rsidRPr="00941D7C">
        <w:rPr>
          <w:rStyle w:val="HideTWBExt"/>
        </w:rPr>
        <w:t>&lt;Article2&gt;</w:t>
      </w:r>
      <w:r w:rsidRPr="00941D7C">
        <w:t>Article 11 – paragraph 7 – subparagraph 6</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65F1B92E" w14:textId="77777777" w:rsidTr="00EE4038">
        <w:trPr>
          <w:jc w:val="center"/>
        </w:trPr>
        <w:tc>
          <w:tcPr>
            <w:tcW w:w="9752" w:type="dxa"/>
            <w:gridSpan w:val="2"/>
          </w:tcPr>
          <w:p w14:paraId="09E65FB1" w14:textId="77777777" w:rsidR="00EE4038" w:rsidRPr="00941D7C" w:rsidRDefault="00EE4038">
            <w:pPr>
              <w:keepNext/>
            </w:pPr>
          </w:p>
        </w:tc>
      </w:tr>
      <w:tr w:rsidR="00EE4038" w:rsidRPr="00941D7C" w14:paraId="7D1759C0" w14:textId="77777777" w:rsidTr="00EE4038">
        <w:trPr>
          <w:jc w:val="center"/>
        </w:trPr>
        <w:tc>
          <w:tcPr>
            <w:tcW w:w="4876" w:type="dxa"/>
            <w:hideMark/>
          </w:tcPr>
          <w:p w14:paraId="0559F62D"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6745D55E" w14:textId="77777777" w:rsidR="00EE4038" w:rsidRPr="00941D7C" w:rsidRDefault="00EE4038">
            <w:pPr>
              <w:pStyle w:val="ColumnHeading"/>
              <w:keepNext/>
              <w:rPr>
                <w:lang w:val="en-GB"/>
              </w:rPr>
            </w:pPr>
            <w:r w:rsidRPr="00941D7C">
              <w:rPr>
                <w:lang w:val="en-GB"/>
              </w:rPr>
              <w:t>Amendment</w:t>
            </w:r>
          </w:p>
        </w:tc>
      </w:tr>
      <w:tr w:rsidR="00EE4038" w:rsidRPr="00941D7C" w14:paraId="1D520023" w14:textId="77777777" w:rsidTr="00EE4038">
        <w:trPr>
          <w:jc w:val="center"/>
        </w:trPr>
        <w:tc>
          <w:tcPr>
            <w:tcW w:w="4876" w:type="dxa"/>
            <w:hideMark/>
          </w:tcPr>
          <w:p w14:paraId="03DB1C74" w14:textId="77777777" w:rsidR="00EE4038" w:rsidRPr="00941D7C" w:rsidRDefault="00EE4038">
            <w:pPr>
              <w:pStyle w:val="Normal6"/>
              <w:rPr>
                <w:lang w:val="en-GB"/>
              </w:rPr>
            </w:pPr>
            <w:r w:rsidRPr="00941D7C">
              <w:rPr>
                <w:lang w:val="en-GB"/>
              </w:rPr>
              <w:t xml:space="preserve">Where the company decides not to suspend the business relationship pursuant to this Article, it shall monitor the </w:t>
            </w:r>
            <w:r w:rsidRPr="00941D7C">
              <w:rPr>
                <w:b/>
                <w:i/>
                <w:lang w:val="en-GB"/>
              </w:rPr>
              <w:t>potential</w:t>
            </w:r>
            <w:r w:rsidRPr="00941D7C">
              <w:rPr>
                <w:lang w:val="en-GB"/>
              </w:rPr>
              <w:t xml:space="preserve"> adverse impact and periodically assess its decision and whether further appropriate measures are available.</w:t>
            </w:r>
          </w:p>
        </w:tc>
        <w:tc>
          <w:tcPr>
            <w:tcW w:w="4876" w:type="dxa"/>
            <w:hideMark/>
          </w:tcPr>
          <w:p w14:paraId="07DF51CE" w14:textId="5CD78181" w:rsidR="00EE4038" w:rsidRPr="00941D7C" w:rsidRDefault="00EE4038" w:rsidP="003C62C4">
            <w:pPr>
              <w:pStyle w:val="Normal6"/>
              <w:rPr>
                <w:szCs w:val="24"/>
                <w:lang w:val="en-GB"/>
              </w:rPr>
            </w:pPr>
            <w:r w:rsidRPr="00941D7C">
              <w:rPr>
                <w:lang w:val="en-GB"/>
              </w:rPr>
              <w:t xml:space="preserve">Where the company decides not to suspend the business relationship pursuant to this Article, it shall monitor the </w:t>
            </w:r>
            <w:r w:rsidRPr="00941D7C">
              <w:rPr>
                <w:b/>
                <w:i/>
                <w:lang w:val="en-GB"/>
              </w:rPr>
              <w:t>actual</w:t>
            </w:r>
            <w:r w:rsidRPr="00941D7C">
              <w:rPr>
                <w:lang w:val="en-GB"/>
              </w:rPr>
              <w:t xml:space="preserve"> adverse impact</w:t>
            </w:r>
            <w:r w:rsidR="00587B18" w:rsidRPr="00941D7C">
              <w:rPr>
                <w:b/>
                <w:i/>
                <w:lang w:val="en-GB"/>
              </w:rPr>
              <w:t xml:space="preserve"> </w:t>
            </w:r>
            <w:r w:rsidR="00587B18" w:rsidRPr="00941D7C">
              <w:rPr>
                <w:lang w:val="en-GB"/>
              </w:rPr>
              <w:t>and</w:t>
            </w:r>
            <w:r w:rsidRPr="00941D7C">
              <w:rPr>
                <w:lang w:val="en-GB"/>
              </w:rPr>
              <w:t xml:space="preserve"> periodically assess its decision and whether further appropriate measures are available.</w:t>
            </w:r>
          </w:p>
        </w:tc>
      </w:tr>
    </w:tbl>
    <w:p w14:paraId="6DDC104F"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2E6A9F7C" w14:textId="77777777" w:rsidR="00EE4038" w:rsidRPr="00941D7C" w:rsidRDefault="00EE4038" w:rsidP="00EE4038">
      <w:r w:rsidRPr="00941D7C">
        <w:rPr>
          <w:rStyle w:val="HideTWBExt"/>
        </w:rPr>
        <w:t>&lt;/Amend&gt;</w:t>
      </w:r>
    </w:p>
    <w:p w14:paraId="4B752A65" w14:textId="52900A34"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75</w:t>
      </w:r>
      <w:r w:rsidRPr="00941D7C">
        <w:rPr>
          <w:rStyle w:val="HideTWBExt"/>
          <w:lang w:val="en-GB"/>
        </w:rPr>
        <w:t>&lt;/NumAm&gt;</w:t>
      </w:r>
    </w:p>
    <w:p w14:paraId="68E83011"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2E88F20A" w14:textId="7AE44CA5" w:rsidR="00EE4038" w:rsidRPr="008C7353" w:rsidRDefault="00EE4038" w:rsidP="00EE4038">
      <w:pPr>
        <w:pStyle w:val="NormalBold"/>
        <w:rPr>
          <w:lang w:val="fr-FR"/>
        </w:rPr>
      </w:pPr>
      <w:r w:rsidRPr="008C7353">
        <w:rPr>
          <w:rStyle w:val="HideTWBExt"/>
          <w:lang w:val="fr-FR"/>
        </w:rPr>
        <w:t>&lt;Article&gt;</w:t>
      </w:r>
      <w:r w:rsidRPr="008C7353">
        <w:rPr>
          <w:lang w:val="fr-FR"/>
        </w:rPr>
        <w:t xml:space="preserve">Article 4 – paragraph 1 – point </w:t>
      </w:r>
      <w:r w:rsidR="00F129CE" w:rsidRPr="008C7353">
        <w:rPr>
          <w:lang w:val="fr-FR"/>
        </w:rPr>
        <w:t>8 a (new)</w:t>
      </w:r>
      <w:r w:rsidRPr="008C7353">
        <w:rPr>
          <w:rStyle w:val="HideTWBExt"/>
          <w:lang w:val="fr-FR"/>
        </w:rPr>
        <w:t>&lt;/Article&gt;</w:t>
      </w:r>
    </w:p>
    <w:p w14:paraId="56BA38C2" w14:textId="77777777" w:rsidR="00EE4038" w:rsidRPr="008C7353" w:rsidRDefault="00EE4038" w:rsidP="00EE4038">
      <w:pPr>
        <w:keepNext/>
        <w:rPr>
          <w:lang w:val="fr-FR"/>
        </w:rPr>
      </w:pPr>
      <w:r w:rsidRPr="008C7353">
        <w:rPr>
          <w:rStyle w:val="HideTWBExt"/>
          <w:lang w:val="fr-FR"/>
        </w:rPr>
        <w:t>&lt;DocAmend2&gt;</w:t>
      </w:r>
      <w:r w:rsidRPr="008C7353">
        <w:rPr>
          <w:lang w:val="fr-FR"/>
        </w:rPr>
        <w:t>Directive (EU) 2024/1760</w:t>
      </w:r>
      <w:r w:rsidRPr="008C7353">
        <w:rPr>
          <w:rStyle w:val="HideTWBExt"/>
          <w:lang w:val="fr-FR"/>
        </w:rPr>
        <w:t>&lt;/DocAmend2&gt;</w:t>
      </w:r>
    </w:p>
    <w:p w14:paraId="41203D1F" w14:textId="77777777" w:rsidR="00EE4038" w:rsidRPr="008C7353" w:rsidRDefault="00EE4038" w:rsidP="00EE4038">
      <w:pPr>
        <w:rPr>
          <w:lang w:val="fr-FR"/>
        </w:rPr>
      </w:pPr>
      <w:r w:rsidRPr="008C7353">
        <w:rPr>
          <w:rStyle w:val="HideTWBExt"/>
          <w:lang w:val="fr-FR"/>
        </w:rPr>
        <w:t>&lt;Article2&gt;</w:t>
      </w:r>
      <w:r w:rsidRPr="008C7353">
        <w:rPr>
          <w:lang w:val="fr-FR"/>
        </w:rPr>
        <w:t>Article 19</w:t>
      </w:r>
      <w:r w:rsidR="00E84907" w:rsidRPr="008C7353">
        <w:rPr>
          <w:lang w:val="fr-FR"/>
        </w:rPr>
        <w:t xml:space="preserve"> – paragraph </w:t>
      </w:r>
      <w:r w:rsidR="00F129CE" w:rsidRPr="008C7353">
        <w:rPr>
          <w:lang w:val="fr-FR"/>
        </w:rPr>
        <w:t>2 – point b</w:t>
      </w:r>
      <w:r w:rsidRPr="008C7353">
        <w:rPr>
          <w:rStyle w:val="HideTWBExt"/>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8C7353" w14:paraId="7DA147F7" w14:textId="77777777" w:rsidTr="007C3CBA">
        <w:trPr>
          <w:jc w:val="center"/>
        </w:trPr>
        <w:tc>
          <w:tcPr>
            <w:tcW w:w="9752" w:type="dxa"/>
            <w:gridSpan w:val="2"/>
          </w:tcPr>
          <w:p w14:paraId="0CD5B584" w14:textId="77777777" w:rsidR="00EE4038" w:rsidRPr="008C7353" w:rsidRDefault="00EE4038">
            <w:pPr>
              <w:keepNext/>
              <w:rPr>
                <w:lang w:val="fr-FR"/>
              </w:rPr>
            </w:pPr>
          </w:p>
        </w:tc>
      </w:tr>
      <w:tr w:rsidR="00EE4038" w:rsidRPr="00941D7C" w14:paraId="341B98FA" w14:textId="77777777" w:rsidTr="007C3CBA">
        <w:trPr>
          <w:jc w:val="center"/>
        </w:trPr>
        <w:tc>
          <w:tcPr>
            <w:tcW w:w="4876" w:type="dxa"/>
            <w:hideMark/>
          </w:tcPr>
          <w:p w14:paraId="2F52C5B8"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1577E868" w14:textId="77777777" w:rsidR="00EE4038" w:rsidRPr="00941D7C" w:rsidRDefault="00EE4038">
            <w:pPr>
              <w:pStyle w:val="ColumnHeading"/>
              <w:keepNext/>
              <w:rPr>
                <w:lang w:val="en-GB"/>
              </w:rPr>
            </w:pPr>
            <w:r w:rsidRPr="00941D7C">
              <w:rPr>
                <w:lang w:val="en-GB"/>
              </w:rPr>
              <w:t>Amendment</w:t>
            </w:r>
          </w:p>
        </w:tc>
      </w:tr>
      <w:tr w:rsidR="00EE4038" w:rsidRPr="00941D7C" w14:paraId="3D2D279A" w14:textId="77777777" w:rsidTr="007C3CBA">
        <w:trPr>
          <w:jc w:val="center"/>
        </w:trPr>
        <w:tc>
          <w:tcPr>
            <w:tcW w:w="4876" w:type="dxa"/>
          </w:tcPr>
          <w:p w14:paraId="663E1A96" w14:textId="77777777" w:rsidR="00EE4038" w:rsidRPr="00941D7C" w:rsidRDefault="00EE4038">
            <w:pPr>
              <w:pStyle w:val="Normal6"/>
              <w:rPr>
                <w:lang w:val="en-GB"/>
              </w:rPr>
            </w:pPr>
          </w:p>
        </w:tc>
        <w:tc>
          <w:tcPr>
            <w:tcW w:w="4876" w:type="dxa"/>
            <w:hideMark/>
          </w:tcPr>
          <w:p w14:paraId="778ED277" w14:textId="4F87D222" w:rsidR="00EE4038" w:rsidRPr="00941D7C" w:rsidRDefault="00EE4038" w:rsidP="003C62C4">
            <w:pPr>
              <w:pStyle w:val="Normal6"/>
              <w:rPr>
                <w:szCs w:val="24"/>
                <w:lang w:val="en-GB"/>
              </w:rPr>
            </w:pPr>
            <w:r w:rsidRPr="00941D7C">
              <w:rPr>
                <w:b/>
                <w:i/>
                <w:lang w:val="en-GB"/>
              </w:rPr>
              <w:t>(</w:t>
            </w:r>
            <w:r w:rsidR="00E33574" w:rsidRPr="00941D7C">
              <w:rPr>
                <w:b/>
                <w:i/>
                <w:lang w:val="en-GB"/>
              </w:rPr>
              <w:t>8</w:t>
            </w:r>
            <w:r w:rsidRPr="00941D7C">
              <w:rPr>
                <w:b/>
                <w:i/>
                <w:lang w:val="en-GB"/>
              </w:rPr>
              <w:t>a)</w:t>
            </w:r>
            <w:r w:rsidRPr="00941D7C">
              <w:rPr>
                <w:lang w:val="en-GB"/>
              </w:rPr>
              <w:tab/>
            </w:r>
            <w:r w:rsidRPr="00941D7C">
              <w:rPr>
                <w:b/>
                <w:i/>
                <w:lang w:val="en-GB"/>
              </w:rPr>
              <w:t>in</w:t>
            </w:r>
            <w:r w:rsidR="00F129CE" w:rsidRPr="00941D7C">
              <w:rPr>
                <w:b/>
                <w:i/>
                <w:lang w:val="en-GB"/>
              </w:rPr>
              <w:t xml:space="preserve"> Article 19(</w:t>
            </w:r>
            <w:r w:rsidRPr="00941D7C">
              <w:rPr>
                <w:b/>
                <w:i/>
                <w:lang w:val="en-GB"/>
              </w:rPr>
              <w:t>2</w:t>
            </w:r>
            <w:r w:rsidR="00F129CE" w:rsidRPr="00941D7C">
              <w:rPr>
                <w:b/>
                <w:i/>
                <w:lang w:val="en-GB"/>
              </w:rPr>
              <w:t>)</w:t>
            </w:r>
            <w:r w:rsidRPr="00941D7C">
              <w:rPr>
                <w:b/>
                <w:i/>
                <w:lang w:val="en-GB"/>
              </w:rPr>
              <w:t>, point (b) is deleted;</w:t>
            </w:r>
          </w:p>
        </w:tc>
      </w:tr>
    </w:tbl>
    <w:p w14:paraId="3F83A322"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38162033" w14:textId="77777777" w:rsidR="00EE4038" w:rsidRPr="00941D7C" w:rsidRDefault="00EE4038" w:rsidP="00EE4038">
      <w:r w:rsidRPr="00941D7C">
        <w:rPr>
          <w:rStyle w:val="HideTWBExt"/>
        </w:rPr>
        <w:t>&lt;/Amend&gt;</w:t>
      </w:r>
    </w:p>
    <w:p w14:paraId="43DE1DFE" w14:textId="28955525"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76</w:t>
      </w:r>
      <w:r w:rsidRPr="00941D7C">
        <w:rPr>
          <w:rStyle w:val="HideTWBExt"/>
          <w:lang w:val="en-GB"/>
        </w:rPr>
        <w:t>&lt;/NumAm&gt;</w:t>
      </w:r>
    </w:p>
    <w:p w14:paraId="3B316E78"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7267B939"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9</w:t>
      </w:r>
      <w:r w:rsidR="00F129CE" w:rsidRPr="008C7353">
        <w:rPr>
          <w:lang w:val="fr-FR"/>
        </w:rPr>
        <w:t xml:space="preserve"> </w:t>
      </w:r>
      <w:r w:rsidRPr="008C7353">
        <w:rPr>
          <w:lang w:val="fr-FR"/>
        </w:rPr>
        <w:t>a (new)</w:t>
      </w:r>
      <w:r w:rsidRPr="008C7353">
        <w:rPr>
          <w:rStyle w:val="HideTWBExt"/>
          <w:lang w:val="fr-FR"/>
        </w:rPr>
        <w:t>&lt;/Article&gt;</w:t>
      </w:r>
    </w:p>
    <w:p w14:paraId="1039B26D" w14:textId="77777777" w:rsidR="00EE4038" w:rsidRPr="00941D7C" w:rsidRDefault="00EE4038" w:rsidP="00EE4038">
      <w:pPr>
        <w:keepNext/>
      </w:pPr>
      <w:r w:rsidRPr="00941D7C">
        <w:rPr>
          <w:rStyle w:val="HideTWBExt"/>
        </w:rPr>
        <w:t>&lt;DocAmend2&gt;</w:t>
      </w:r>
      <w:r w:rsidRPr="00941D7C">
        <w:t>Directive (EU) 2024/1760</w:t>
      </w:r>
      <w:r w:rsidRPr="00941D7C">
        <w:rPr>
          <w:rStyle w:val="HideTWBExt"/>
        </w:rPr>
        <w:t>&lt;/DocAmend2&gt;</w:t>
      </w:r>
    </w:p>
    <w:p w14:paraId="107EB6AC" w14:textId="77777777" w:rsidR="00EE4038" w:rsidRPr="00941D7C" w:rsidRDefault="00EE4038" w:rsidP="00EE4038">
      <w:r w:rsidRPr="00941D7C">
        <w:rPr>
          <w:rStyle w:val="HideTWBExt"/>
        </w:rPr>
        <w:t>&lt;Article2&gt;</w:t>
      </w:r>
      <w:r w:rsidRPr="00941D7C">
        <w:t>Article 22</w:t>
      </w:r>
      <w:r w:rsidRPr="00941D7C">
        <w:rPr>
          <w:rStyle w:val="HideTWBExt"/>
        </w:rPr>
        <w:t>&lt;/Article2&gt;</w:t>
      </w:r>
    </w:p>
    <w:tbl>
      <w:tblPr>
        <w:tblW w:w="0"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7AE5088A" w14:textId="77777777" w:rsidTr="00EE4038">
        <w:trPr>
          <w:jc w:val="center"/>
        </w:trPr>
        <w:tc>
          <w:tcPr>
            <w:tcW w:w="9752" w:type="dxa"/>
            <w:gridSpan w:val="2"/>
          </w:tcPr>
          <w:p w14:paraId="6832AB5D" w14:textId="77777777" w:rsidR="00EE4038" w:rsidRPr="00941D7C" w:rsidRDefault="00EE4038">
            <w:pPr>
              <w:keepNext/>
            </w:pPr>
          </w:p>
        </w:tc>
      </w:tr>
      <w:tr w:rsidR="00EE4038" w:rsidRPr="00941D7C" w14:paraId="4B403D1A" w14:textId="77777777" w:rsidTr="00EE4038">
        <w:trPr>
          <w:jc w:val="center"/>
        </w:trPr>
        <w:tc>
          <w:tcPr>
            <w:tcW w:w="4876" w:type="dxa"/>
            <w:hideMark/>
          </w:tcPr>
          <w:p w14:paraId="3F859CB4"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03D987ED" w14:textId="77777777" w:rsidR="00EE4038" w:rsidRPr="00941D7C" w:rsidRDefault="00EE4038">
            <w:pPr>
              <w:pStyle w:val="ColumnHeading"/>
              <w:keepNext/>
              <w:rPr>
                <w:lang w:val="en-GB"/>
              </w:rPr>
            </w:pPr>
            <w:r w:rsidRPr="00941D7C">
              <w:rPr>
                <w:lang w:val="en-GB"/>
              </w:rPr>
              <w:t>Amendment</w:t>
            </w:r>
          </w:p>
        </w:tc>
      </w:tr>
      <w:tr w:rsidR="00EE4038" w:rsidRPr="00941D7C" w14:paraId="54D781AB" w14:textId="77777777" w:rsidTr="00EE4038">
        <w:trPr>
          <w:jc w:val="center"/>
        </w:trPr>
        <w:tc>
          <w:tcPr>
            <w:tcW w:w="4876" w:type="dxa"/>
            <w:hideMark/>
          </w:tcPr>
          <w:p w14:paraId="7A74FC83" w14:textId="77777777" w:rsidR="00EE4038" w:rsidRPr="00941D7C" w:rsidRDefault="00EE4038"/>
        </w:tc>
        <w:tc>
          <w:tcPr>
            <w:tcW w:w="4876" w:type="dxa"/>
            <w:hideMark/>
          </w:tcPr>
          <w:p w14:paraId="75082745" w14:textId="03F02A69" w:rsidR="00EE4038" w:rsidRPr="00941D7C" w:rsidRDefault="00EE4038">
            <w:pPr>
              <w:pStyle w:val="Normal6"/>
              <w:rPr>
                <w:szCs w:val="24"/>
                <w:lang w:val="en-GB"/>
              </w:rPr>
            </w:pPr>
            <w:r w:rsidRPr="00941D7C">
              <w:rPr>
                <w:b/>
                <w:i/>
                <w:lang w:val="en-GB"/>
              </w:rPr>
              <w:t>(9a)</w:t>
            </w:r>
            <w:r w:rsidRPr="00941D7C">
              <w:rPr>
                <w:lang w:val="en-GB"/>
              </w:rPr>
              <w:tab/>
            </w:r>
            <w:r w:rsidRPr="00941D7C">
              <w:rPr>
                <w:b/>
                <w:i/>
                <w:lang w:val="en-GB"/>
              </w:rPr>
              <w:t>Article 22 is deleted</w:t>
            </w:r>
            <w:r w:rsidR="00587B18" w:rsidRPr="00941D7C">
              <w:rPr>
                <w:b/>
                <w:i/>
                <w:lang w:val="en-GB"/>
              </w:rPr>
              <w:t>;</w:t>
            </w:r>
          </w:p>
        </w:tc>
      </w:tr>
    </w:tbl>
    <w:p w14:paraId="6A9663D8"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268156CC" w14:textId="77777777" w:rsidR="00EE4038" w:rsidRPr="00941D7C" w:rsidRDefault="00EE4038" w:rsidP="00EE4038">
      <w:r w:rsidRPr="00941D7C">
        <w:rPr>
          <w:rStyle w:val="HideTWBExt"/>
        </w:rPr>
        <w:t>&lt;/Amend&gt;</w:t>
      </w:r>
    </w:p>
    <w:p w14:paraId="4AEB9737" w14:textId="2F97B9F0"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77</w:t>
      </w:r>
      <w:r w:rsidRPr="00941D7C">
        <w:rPr>
          <w:rStyle w:val="HideTWBExt"/>
          <w:lang w:val="en-GB"/>
        </w:rPr>
        <w:t>&lt;/NumAm&gt;</w:t>
      </w:r>
    </w:p>
    <w:p w14:paraId="4B150148"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7FDEFAFF" w14:textId="77777777" w:rsidR="00EE4038" w:rsidRPr="00941D7C" w:rsidRDefault="00EE4038" w:rsidP="00EE4038">
      <w:pPr>
        <w:pStyle w:val="NormalBold"/>
      </w:pPr>
      <w:r w:rsidRPr="00941D7C">
        <w:rPr>
          <w:rStyle w:val="HideTWBExt"/>
        </w:rPr>
        <w:t>&lt;Article&gt;</w:t>
      </w:r>
      <w:r w:rsidRPr="00941D7C">
        <w:t>Article 4 – paragraph 1 – point 10</w:t>
      </w:r>
      <w:r w:rsidRPr="00941D7C">
        <w:rPr>
          <w:rStyle w:val="HideTWBExt"/>
        </w:rPr>
        <w:t>&lt;/Article&gt;</w:t>
      </w:r>
    </w:p>
    <w:p w14:paraId="285012A8" w14:textId="77777777" w:rsidR="00EE4038" w:rsidRPr="00941D7C" w:rsidRDefault="00EE4038" w:rsidP="00EE4038">
      <w:pPr>
        <w:keepNext/>
      </w:pPr>
      <w:r w:rsidRPr="00941D7C">
        <w:rPr>
          <w:rStyle w:val="HideTWBExt"/>
        </w:rPr>
        <w:t>&lt;DocAmend2&gt;</w:t>
      </w:r>
      <w:r w:rsidRPr="00941D7C">
        <w:t>Directive (EU)2024/1760</w:t>
      </w:r>
      <w:r w:rsidRPr="00941D7C">
        <w:rPr>
          <w:rStyle w:val="HideTWBExt"/>
        </w:rPr>
        <w:t>&lt;/DocAmend2&gt;</w:t>
      </w:r>
    </w:p>
    <w:p w14:paraId="22E880FD" w14:textId="77777777" w:rsidR="00EE4038" w:rsidRPr="00941D7C" w:rsidRDefault="00EE4038" w:rsidP="00EE4038">
      <w:r w:rsidRPr="00941D7C">
        <w:rPr>
          <w:rStyle w:val="HideTWBExt"/>
        </w:rPr>
        <w:t>&lt;Article2&gt;</w:t>
      </w:r>
      <w:r w:rsidRPr="00941D7C">
        <w:t>Article 22 – paragraph 1 – subparagraph 1</w:t>
      </w:r>
      <w:r w:rsidRPr="00941D7C">
        <w:rPr>
          <w:rStyle w:val="HideTWBExt"/>
        </w:rPr>
        <w:t>&lt;/Article2&gt;</w:t>
      </w:r>
    </w:p>
    <w:tbl>
      <w:tblPr>
        <w:tblW w:w="0"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10743E25" w14:textId="77777777" w:rsidTr="00EE4038">
        <w:trPr>
          <w:jc w:val="center"/>
        </w:trPr>
        <w:tc>
          <w:tcPr>
            <w:tcW w:w="9752" w:type="dxa"/>
            <w:gridSpan w:val="2"/>
          </w:tcPr>
          <w:p w14:paraId="4CA9281A" w14:textId="77777777" w:rsidR="00EE4038" w:rsidRPr="00941D7C" w:rsidRDefault="00EE4038">
            <w:pPr>
              <w:keepNext/>
            </w:pPr>
          </w:p>
        </w:tc>
      </w:tr>
      <w:tr w:rsidR="00EE4038" w:rsidRPr="00941D7C" w14:paraId="1AF06F4A" w14:textId="77777777" w:rsidTr="00EE4038">
        <w:trPr>
          <w:jc w:val="center"/>
        </w:trPr>
        <w:tc>
          <w:tcPr>
            <w:tcW w:w="4876" w:type="dxa"/>
            <w:hideMark/>
          </w:tcPr>
          <w:p w14:paraId="5680DCF8"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28A9F388" w14:textId="77777777" w:rsidR="00EE4038" w:rsidRPr="00941D7C" w:rsidRDefault="00EE4038">
            <w:pPr>
              <w:pStyle w:val="ColumnHeading"/>
              <w:keepNext/>
              <w:rPr>
                <w:lang w:val="en-GB"/>
              </w:rPr>
            </w:pPr>
            <w:r w:rsidRPr="00941D7C">
              <w:rPr>
                <w:lang w:val="en-GB"/>
              </w:rPr>
              <w:t>Amendment</w:t>
            </w:r>
          </w:p>
        </w:tc>
      </w:tr>
      <w:tr w:rsidR="00EE4038" w:rsidRPr="00941D7C" w14:paraId="4E22BB88" w14:textId="77777777" w:rsidTr="00EE4038">
        <w:trPr>
          <w:jc w:val="center"/>
        </w:trPr>
        <w:tc>
          <w:tcPr>
            <w:tcW w:w="4876" w:type="dxa"/>
            <w:hideMark/>
          </w:tcPr>
          <w:p w14:paraId="14EA3D48" w14:textId="77777777" w:rsidR="00EE4038" w:rsidRPr="00941D7C" w:rsidRDefault="00EE4038">
            <w:pPr>
              <w:pStyle w:val="Normal6"/>
              <w:rPr>
                <w:lang w:val="en-GB"/>
              </w:rPr>
            </w:pPr>
            <w:r w:rsidRPr="00941D7C">
              <w:rPr>
                <w:b/>
                <w:i/>
                <w:lang w:val="en-GB"/>
              </w:rPr>
              <w:t>(10)</w:t>
            </w:r>
            <w:r w:rsidRPr="00941D7C">
              <w:rPr>
                <w:b/>
                <w:i/>
                <w:lang w:val="en-GB"/>
              </w:rPr>
              <w:tab/>
              <w:t>in Article 22(1), the first subparagraph is replaced by the following:</w:t>
            </w:r>
          </w:p>
        </w:tc>
        <w:tc>
          <w:tcPr>
            <w:tcW w:w="4876" w:type="dxa"/>
            <w:hideMark/>
          </w:tcPr>
          <w:p w14:paraId="793DACFF" w14:textId="77777777" w:rsidR="00EE4038" w:rsidRPr="00941D7C" w:rsidRDefault="00EE4038">
            <w:pPr>
              <w:pStyle w:val="Normal6"/>
              <w:rPr>
                <w:szCs w:val="24"/>
                <w:lang w:val="en-GB"/>
              </w:rPr>
            </w:pPr>
            <w:r w:rsidRPr="00941D7C">
              <w:rPr>
                <w:b/>
                <w:i/>
                <w:lang w:val="en-GB"/>
              </w:rPr>
              <w:t>deleted</w:t>
            </w:r>
          </w:p>
        </w:tc>
      </w:tr>
      <w:tr w:rsidR="00EE4038" w:rsidRPr="00941D7C" w14:paraId="60A27336" w14:textId="77777777" w:rsidTr="00EE4038">
        <w:trPr>
          <w:jc w:val="center"/>
        </w:trPr>
        <w:tc>
          <w:tcPr>
            <w:tcW w:w="4876" w:type="dxa"/>
            <w:hideMark/>
          </w:tcPr>
          <w:p w14:paraId="258124DA" w14:textId="77777777" w:rsidR="00EE4038" w:rsidRPr="00941D7C" w:rsidRDefault="00EE4038">
            <w:pPr>
              <w:pStyle w:val="Normal6"/>
              <w:rPr>
                <w:lang w:val="en-GB"/>
              </w:rPr>
            </w:pPr>
            <w:r w:rsidRPr="00941D7C">
              <w:rPr>
                <w:b/>
                <w:i/>
                <w:lang w:val="en-GB"/>
              </w:rPr>
              <w:t>Member States shall ensure that companies referred to in Article 2(1), points (a), (b) and (c), and Article 2(2), points (a), (b) and (c), adopt a transition plan for climate change mitigation, including implementing actions, which aim to ensure, through best efforts, that the business model and strategy of the company are compatible with the transition to a sustainable economy and with the limiting of global warming to 1.5°C in line with the Paris Agreement and the objective of achieving climate neutrality as established in Regulation (EU) 2021/1119, including its intermediate and 2050 climate neutrality targets, and where relevant, the exposure of the company to coal-, oil- and gas-related activities.;</w:t>
            </w:r>
          </w:p>
        </w:tc>
        <w:tc>
          <w:tcPr>
            <w:tcW w:w="4876" w:type="dxa"/>
          </w:tcPr>
          <w:p w14:paraId="666F8DDE" w14:textId="77777777" w:rsidR="00EE4038" w:rsidRPr="00941D7C" w:rsidRDefault="00EE4038">
            <w:pPr>
              <w:pStyle w:val="Normal6"/>
              <w:rPr>
                <w:szCs w:val="24"/>
                <w:lang w:val="en-GB"/>
              </w:rPr>
            </w:pPr>
          </w:p>
        </w:tc>
      </w:tr>
    </w:tbl>
    <w:p w14:paraId="532AB83B"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28EA9291" w14:textId="77777777" w:rsidR="00EE4038" w:rsidRPr="00941D7C" w:rsidRDefault="00EE4038" w:rsidP="00EE4038">
      <w:r w:rsidRPr="00941D7C">
        <w:rPr>
          <w:rStyle w:val="HideTWBExt"/>
        </w:rPr>
        <w:t>&lt;/Amend&gt;</w:t>
      </w:r>
    </w:p>
    <w:p w14:paraId="4A058411" w14:textId="6AC50413"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78</w:t>
      </w:r>
      <w:r w:rsidRPr="00941D7C">
        <w:rPr>
          <w:rStyle w:val="HideTWBExt"/>
          <w:lang w:val="en-GB"/>
        </w:rPr>
        <w:t>&lt;/NumAm&gt;</w:t>
      </w:r>
    </w:p>
    <w:p w14:paraId="50A84D47"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63A9731C"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10 a (new)</w:t>
      </w:r>
      <w:r w:rsidRPr="008C7353">
        <w:rPr>
          <w:rStyle w:val="HideTWBExt"/>
          <w:lang w:val="fr-FR"/>
        </w:rPr>
        <w:t>&lt;/Article&gt;</w:t>
      </w:r>
    </w:p>
    <w:p w14:paraId="76B1DC99" w14:textId="77777777" w:rsidR="00EE4038" w:rsidRPr="00941D7C" w:rsidRDefault="00EE4038" w:rsidP="00EE4038">
      <w:pPr>
        <w:keepNext/>
      </w:pPr>
      <w:r w:rsidRPr="00941D7C">
        <w:rPr>
          <w:rStyle w:val="HideTWBExt"/>
        </w:rPr>
        <w:t>&lt;DocAmend2&gt;</w:t>
      </w:r>
      <w:r w:rsidRPr="00941D7C">
        <w:t>Directive (EU) 2024/1760</w:t>
      </w:r>
      <w:r w:rsidRPr="00941D7C">
        <w:rPr>
          <w:rStyle w:val="HideTWBExt"/>
        </w:rPr>
        <w:t>&lt;/DocAmend2&gt;</w:t>
      </w:r>
    </w:p>
    <w:p w14:paraId="2068DB36" w14:textId="77777777" w:rsidR="00EE4038" w:rsidRPr="00941D7C" w:rsidRDefault="00EE4038" w:rsidP="00EE4038">
      <w:r w:rsidRPr="00941D7C">
        <w:rPr>
          <w:rStyle w:val="HideTWBExt"/>
        </w:rPr>
        <w:t>&lt;Article2&gt;</w:t>
      </w:r>
      <w:r w:rsidRPr="00941D7C">
        <w:t>Article 24 – paragraph 1</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4A278C5B" w14:textId="77777777" w:rsidTr="00EE4038">
        <w:trPr>
          <w:jc w:val="center"/>
        </w:trPr>
        <w:tc>
          <w:tcPr>
            <w:tcW w:w="9752" w:type="dxa"/>
            <w:gridSpan w:val="2"/>
          </w:tcPr>
          <w:p w14:paraId="71AE6362" w14:textId="77777777" w:rsidR="00EE4038" w:rsidRPr="00941D7C" w:rsidRDefault="00EE4038">
            <w:pPr>
              <w:keepNext/>
            </w:pPr>
          </w:p>
        </w:tc>
      </w:tr>
      <w:tr w:rsidR="00EE4038" w:rsidRPr="00941D7C" w14:paraId="3760A9D4" w14:textId="77777777" w:rsidTr="00EE4038">
        <w:trPr>
          <w:jc w:val="center"/>
        </w:trPr>
        <w:tc>
          <w:tcPr>
            <w:tcW w:w="4876" w:type="dxa"/>
            <w:hideMark/>
          </w:tcPr>
          <w:p w14:paraId="6A404C4F" w14:textId="77777777" w:rsidR="00EE4038" w:rsidRPr="00941D7C" w:rsidRDefault="00EE4038">
            <w:pPr>
              <w:pStyle w:val="ColumnHeading"/>
              <w:keepNext/>
              <w:rPr>
                <w:lang w:val="en-GB"/>
              </w:rPr>
            </w:pPr>
            <w:r w:rsidRPr="00941D7C">
              <w:rPr>
                <w:lang w:val="en-GB"/>
              </w:rPr>
              <w:t>Present text</w:t>
            </w:r>
          </w:p>
        </w:tc>
        <w:tc>
          <w:tcPr>
            <w:tcW w:w="4876" w:type="dxa"/>
            <w:hideMark/>
          </w:tcPr>
          <w:p w14:paraId="3FBC56F4" w14:textId="77777777" w:rsidR="00EE4038" w:rsidRPr="00941D7C" w:rsidRDefault="00EE4038">
            <w:pPr>
              <w:pStyle w:val="ColumnHeading"/>
              <w:keepNext/>
              <w:rPr>
                <w:lang w:val="en-GB"/>
              </w:rPr>
            </w:pPr>
            <w:r w:rsidRPr="00941D7C">
              <w:rPr>
                <w:lang w:val="en-GB"/>
              </w:rPr>
              <w:t>Amendment</w:t>
            </w:r>
          </w:p>
        </w:tc>
      </w:tr>
      <w:tr w:rsidR="00EE4038" w:rsidRPr="00941D7C" w14:paraId="4B6F41A7" w14:textId="77777777" w:rsidTr="00EE4038">
        <w:trPr>
          <w:jc w:val="center"/>
        </w:trPr>
        <w:tc>
          <w:tcPr>
            <w:tcW w:w="4876" w:type="dxa"/>
          </w:tcPr>
          <w:p w14:paraId="12600608" w14:textId="77777777" w:rsidR="00EE4038" w:rsidRPr="00941D7C" w:rsidRDefault="00EE4038">
            <w:pPr>
              <w:pStyle w:val="Normal6"/>
              <w:rPr>
                <w:lang w:val="en-GB"/>
              </w:rPr>
            </w:pPr>
          </w:p>
        </w:tc>
        <w:tc>
          <w:tcPr>
            <w:tcW w:w="4876" w:type="dxa"/>
            <w:hideMark/>
          </w:tcPr>
          <w:p w14:paraId="08D4167C" w14:textId="233A4F94" w:rsidR="00EE4038" w:rsidRPr="00941D7C" w:rsidRDefault="00EE4038">
            <w:pPr>
              <w:pStyle w:val="Normal6"/>
              <w:rPr>
                <w:szCs w:val="24"/>
                <w:lang w:val="en-GB"/>
              </w:rPr>
            </w:pPr>
            <w:r w:rsidRPr="00941D7C">
              <w:rPr>
                <w:b/>
                <w:i/>
                <w:lang w:val="en-GB"/>
              </w:rPr>
              <w:t>(10a)</w:t>
            </w:r>
            <w:r w:rsidRPr="00941D7C">
              <w:rPr>
                <w:b/>
                <w:i/>
                <w:lang w:val="en-GB"/>
              </w:rPr>
              <w:tab/>
              <w:t>in Article 24, paragraph 1 is replaced by the following:</w:t>
            </w:r>
          </w:p>
        </w:tc>
      </w:tr>
      <w:tr w:rsidR="00EE4038" w:rsidRPr="00941D7C" w14:paraId="5083EF09" w14:textId="77777777" w:rsidTr="00EE4038">
        <w:trPr>
          <w:jc w:val="center"/>
        </w:trPr>
        <w:tc>
          <w:tcPr>
            <w:tcW w:w="4876" w:type="dxa"/>
            <w:hideMark/>
          </w:tcPr>
          <w:p w14:paraId="06367CC3" w14:textId="77777777" w:rsidR="00EE4038" w:rsidRPr="00941D7C" w:rsidRDefault="00EE4038">
            <w:pPr>
              <w:pStyle w:val="Normal6"/>
              <w:rPr>
                <w:lang w:val="en-GB"/>
              </w:rPr>
            </w:pPr>
            <w:r w:rsidRPr="00941D7C">
              <w:rPr>
                <w:lang w:val="en-GB"/>
              </w:rPr>
              <w:t>1.</w:t>
            </w:r>
            <w:r w:rsidRPr="00941D7C">
              <w:rPr>
                <w:lang w:val="en-GB"/>
              </w:rPr>
              <w:tab/>
              <w:t xml:space="preserve">Each Member State shall designate one or more supervisory authorities to supervise compliance with the obligations laid down in the provisions of national law adopted pursuant to Articles 7 to 16 </w:t>
            </w:r>
            <w:r w:rsidRPr="00941D7C">
              <w:rPr>
                <w:b/>
                <w:lang w:val="en-GB"/>
              </w:rPr>
              <w:t>and Article 22</w:t>
            </w:r>
            <w:r w:rsidRPr="00941D7C">
              <w:rPr>
                <w:lang w:val="en-GB"/>
              </w:rPr>
              <w:t>.</w:t>
            </w:r>
          </w:p>
        </w:tc>
        <w:tc>
          <w:tcPr>
            <w:tcW w:w="4876" w:type="dxa"/>
            <w:hideMark/>
          </w:tcPr>
          <w:p w14:paraId="735CF730" w14:textId="77777777" w:rsidR="00EE4038" w:rsidRPr="00941D7C" w:rsidRDefault="00EE4038">
            <w:pPr>
              <w:pStyle w:val="Normal6"/>
              <w:rPr>
                <w:lang w:val="en-GB"/>
              </w:rPr>
            </w:pPr>
            <w:r w:rsidRPr="00941D7C">
              <w:rPr>
                <w:b/>
                <w:i/>
                <w:lang w:val="en-GB"/>
              </w:rPr>
              <w:t>‘</w:t>
            </w:r>
            <w:r w:rsidRPr="00941D7C">
              <w:rPr>
                <w:lang w:val="en-GB"/>
              </w:rPr>
              <w:t>1.</w:t>
            </w:r>
            <w:r w:rsidRPr="00941D7C">
              <w:rPr>
                <w:lang w:val="en-GB"/>
              </w:rPr>
              <w:tab/>
              <w:t>Each Member State shall designate one or more supervisory authorities to supervise compliance with the obligations laid down in the provisions of national law adopted pursuant to Articles 7 to 16.</w:t>
            </w:r>
            <w:r w:rsidRPr="00941D7C">
              <w:rPr>
                <w:b/>
                <w:i/>
                <w:lang w:val="en-GB"/>
              </w:rPr>
              <w:t>’;</w:t>
            </w:r>
          </w:p>
        </w:tc>
      </w:tr>
    </w:tbl>
    <w:p w14:paraId="70761D2F"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7E4A8A02" w14:textId="77777777" w:rsidR="00EE4038" w:rsidRPr="00941D7C" w:rsidRDefault="00EE4038" w:rsidP="00EE4038">
      <w:r w:rsidRPr="00941D7C">
        <w:rPr>
          <w:rStyle w:val="HideTWBExt"/>
        </w:rPr>
        <w:t>&lt;/Amend&gt;</w:t>
      </w:r>
    </w:p>
    <w:p w14:paraId="0C9D6B56" w14:textId="0F0BB237"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79</w:t>
      </w:r>
      <w:r w:rsidRPr="00941D7C">
        <w:rPr>
          <w:rStyle w:val="HideTWBExt"/>
          <w:lang w:val="en-GB"/>
        </w:rPr>
        <w:t>&lt;/NumAm&gt;</w:t>
      </w:r>
    </w:p>
    <w:p w14:paraId="0E2B786B"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34B760DC"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10 b (new)</w:t>
      </w:r>
      <w:r w:rsidRPr="008C7353">
        <w:rPr>
          <w:rStyle w:val="HideTWBExt"/>
          <w:lang w:val="fr-FR"/>
        </w:rPr>
        <w:t>&lt;/Article&gt;</w:t>
      </w:r>
    </w:p>
    <w:p w14:paraId="7A0BB667" w14:textId="77777777" w:rsidR="00EE4038" w:rsidRPr="00941D7C" w:rsidRDefault="00EE4038" w:rsidP="00EE4038">
      <w:pPr>
        <w:keepNext/>
      </w:pPr>
      <w:r w:rsidRPr="00941D7C">
        <w:rPr>
          <w:rStyle w:val="HideTWBExt"/>
        </w:rPr>
        <w:t>&lt;DocAmend2&gt;</w:t>
      </w:r>
      <w:r w:rsidRPr="00941D7C">
        <w:t>Directive (EU) 2024/1760</w:t>
      </w:r>
      <w:r w:rsidRPr="00941D7C">
        <w:rPr>
          <w:rStyle w:val="HideTWBExt"/>
        </w:rPr>
        <w:t>&lt;/DocAmend2&gt;</w:t>
      </w:r>
    </w:p>
    <w:p w14:paraId="2E618F7F" w14:textId="77777777" w:rsidR="00EE4038" w:rsidRPr="00941D7C" w:rsidRDefault="00EE4038" w:rsidP="00EE4038">
      <w:r w:rsidRPr="00941D7C">
        <w:rPr>
          <w:rStyle w:val="HideTWBExt"/>
        </w:rPr>
        <w:t>&lt;Article2&gt;</w:t>
      </w:r>
      <w:r w:rsidRPr="00941D7C">
        <w:t>Article 25 – paragraph 1</w:t>
      </w:r>
      <w:r w:rsidRPr="00941D7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4F7C78FB" w14:textId="77777777" w:rsidTr="00EE4038">
        <w:trPr>
          <w:jc w:val="center"/>
        </w:trPr>
        <w:tc>
          <w:tcPr>
            <w:tcW w:w="9752" w:type="dxa"/>
            <w:gridSpan w:val="2"/>
          </w:tcPr>
          <w:p w14:paraId="6FCABB33" w14:textId="77777777" w:rsidR="00EE4038" w:rsidRPr="00941D7C" w:rsidRDefault="00EE4038">
            <w:pPr>
              <w:keepNext/>
            </w:pPr>
          </w:p>
        </w:tc>
      </w:tr>
      <w:tr w:rsidR="00EE4038" w:rsidRPr="00941D7C" w14:paraId="014831CD" w14:textId="77777777" w:rsidTr="00EE4038">
        <w:trPr>
          <w:jc w:val="center"/>
        </w:trPr>
        <w:tc>
          <w:tcPr>
            <w:tcW w:w="4876" w:type="dxa"/>
            <w:hideMark/>
          </w:tcPr>
          <w:p w14:paraId="753A0CEC" w14:textId="77777777" w:rsidR="00EE4038" w:rsidRPr="00941D7C" w:rsidRDefault="00EE4038">
            <w:pPr>
              <w:pStyle w:val="ColumnHeading"/>
              <w:keepNext/>
              <w:rPr>
                <w:lang w:val="en-GB"/>
              </w:rPr>
            </w:pPr>
            <w:r w:rsidRPr="00941D7C">
              <w:rPr>
                <w:lang w:val="en-GB"/>
              </w:rPr>
              <w:t>Present text</w:t>
            </w:r>
          </w:p>
        </w:tc>
        <w:tc>
          <w:tcPr>
            <w:tcW w:w="4876" w:type="dxa"/>
            <w:hideMark/>
          </w:tcPr>
          <w:p w14:paraId="4F0EAE79" w14:textId="77777777" w:rsidR="00EE4038" w:rsidRPr="00941D7C" w:rsidRDefault="00EE4038">
            <w:pPr>
              <w:pStyle w:val="ColumnHeading"/>
              <w:keepNext/>
              <w:rPr>
                <w:lang w:val="en-GB"/>
              </w:rPr>
            </w:pPr>
            <w:r w:rsidRPr="00941D7C">
              <w:rPr>
                <w:lang w:val="en-GB"/>
              </w:rPr>
              <w:t>Amendment</w:t>
            </w:r>
          </w:p>
        </w:tc>
      </w:tr>
      <w:tr w:rsidR="00EE4038" w:rsidRPr="00941D7C" w14:paraId="5EA1A00C" w14:textId="77777777" w:rsidTr="00EE4038">
        <w:trPr>
          <w:jc w:val="center"/>
        </w:trPr>
        <w:tc>
          <w:tcPr>
            <w:tcW w:w="4876" w:type="dxa"/>
          </w:tcPr>
          <w:p w14:paraId="49AB30C8" w14:textId="77777777" w:rsidR="00EE4038" w:rsidRPr="00941D7C" w:rsidRDefault="00EE4038">
            <w:pPr>
              <w:pStyle w:val="Normal6"/>
              <w:rPr>
                <w:lang w:val="en-GB"/>
              </w:rPr>
            </w:pPr>
          </w:p>
        </w:tc>
        <w:tc>
          <w:tcPr>
            <w:tcW w:w="4876" w:type="dxa"/>
            <w:hideMark/>
          </w:tcPr>
          <w:p w14:paraId="477B420C" w14:textId="4EC0AC77" w:rsidR="00EE4038" w:rsidRPr="00941D7C" w:rsidRDefault="00EE4038">
            <w:pPr>
              <w:pStyle w:val="Normal6"/>
              <w:rPr>
                <w:szCs w:val="24"/>
                <w:lang w:val="en-GB"/>
              </w:rPr>
            </w:pPr>
            <w:r w:rsidRPr="00941D7C">
              <w:rPr>
                <w:b/>
                <w:i/>
                <w:lang w:val="en-GB"/>
              </w:rPr>
              <w:t>(10b)</w:t>
            </w:r>
            <w:r w:rsidRPr="00941D7C">
              <w:rPr>
                <w:b/>
                <w:i/>
                <w:lang w:val="en-GB"/>
              </w:rPr>
              <w:tab/>
              <w:t>in Article 25, paragraph 1 is replaced by the following:</w:t>
            </w:r>
          </w:p>
        </w:tc>
      </w:tr>
      <w:tr w:rsidR="00EE4038" w:rsidRPr="00941D7C" w14:paraId="5BED9444" w14:textId="77777777" w:rsidTr="00EE4038">
        <w:trPr>
          <w:jc w:val="center"/>
        </w:trPr>
        <w:tc>
          <w:tcPr>
            <w:tcW w:w="4876" w:type="dxa"/>
            <w:hideMark/>
          </w:tcPr>
          <w:p w14:paraId="7985D674" w14:textId="77777777" w:rsidR="00EE4038" w:rsidRPr="00941D7C" w:rsidRDefault="00EE4038">
            <w:pPr>
              <w:pStyle w:val="Normal6"/>
              <w:rPr>
                <w:lang w:val="en-GB"/>
              </w:rPr>
            </w:pPr>
            <w:r w:rsidRPr="00941D7C">
              <w:rPr>
                <w:lang w:val="en-GB"/>
              </w:rPr>
              <w:t>1.</w:t>
            </w:r>
            <w:r w:rsidRPr="00941D7C">
              <w:rPr>
                <w:lang w:val="en-GB"/>
              </w:rPr>
              <w:tab/>
              <w:t xml:space="preserve">Member States shall ensure that the supervisory authorities have adequate powers and resources to carry out the tasks assigned to them under this Directive, including the power to require companies to provide information and carry out investigations related to compliance with the obligations set out in Articles 7 to 16. </w:t>
            </w:r>
            <w:r w:rsidRPr="00941D7C">
              <w:rPr>
                <w:b/>
                <w:i/>
                <w:lang w:val="en-GB"/>
              </w:rPr>
              <w:t>Member States shall require the supervisory authorities to supervise the adoption and design of the transition plan for climate change mitigation in accordance with the requirements provided for in Article 22(1).</w:t>
            </w:r>
          </w:p>
        </w:tc>
        <w:tc>
          <w:tcPr>
            <w:tcW w:w="4876" w:type="dxa"/>
            <w:hideMark/>
          </w:tcPr>
          <w:p w14:paraId="1E812823" w14:textId="77777777" w:rsidR="00EE4038" w:rsidRPr="00941D7C" w:rsidRDefault="00EE4038">
            <w:pPr>
              <w:pStyle w:val="Normal6"/>
              <w:rPr>
                <w:szCs w:val="24"/>
                <w:lang w:val="en-GB"/>
              </w:rPr>
            </w:pPr>
            <w:r w:rsidRPr="00941D7C">
              <w:rPr>
                <w:b/>
                <w:i/>
                <w:lang w:val="en-GB"/>
              </w:rPr>
              <w:t>‘</w:t>
            </w:r>
            <w:r w:rsidRPr="00941D7C">
              <w:rPr>
                <w:lang w:val="en-GB"/>
              </w:rPr>
              <w:t>1.</w:t>
            </w:r>
            <w:r w:rsidRPr="00941D7C">
              <w:rPr>
                <w:lang w:val="en-GB"/>
              </w:rPr>
              <w:tab/>
              <w:t>Member States shall ensure that the supervisory authorities have adequate powers and resources to carry out the tasks assigned to them under this Directive, including the power to require companies to provide information and carry out investigations related to compliance with the obligations set out in Articles 7 to 16.</w:t>
            </w:r>
            <w:r w:rsidRPr="00941D7C">
              <w:rPr>
                <w:b/>
                <w:i/>
                <w:lang w:val="en-GB"/>
              </w:rPr>
              <w:t>’;</w:t>
            </w:r>
          </w:p>
        </w:tc>
      </w:tr>
    </w:tbl>
    <w:p w14:paraId="445DCE78"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5DC69C4C" w14:textId="77777777" w:rsidR="00EE4038" w:rsidRPr="00941D7C" w:rsidRDefault="00EE4038" w:rsidP="00EE4038">
      <w:r w:rsidRPr="00941D7C">
        <w:rPr>
          <w:rStyle w:val="HideTWBExt"/>
        </w:rPr>
        <w:t>&lt;/Amend&gt;</w:t>
      </w:r>
    </w:p>
    <w:p w14:paraId="2766ED1F" w14:textId="50A52BD1"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80</w:t>
      </w:r>
      <w:r w:rsidRPr="00941D7C">
        <w:rPr>
          <w:rStyle w:val="HideTWBExt"/>
          <w:lang w:val="en-GB"/>
        </w:rPr>
        <w:t>&lt;/NumAm&gt;</w:t>
      </w:r>
    </w:p>
    <w:p w14:paraId="32A38C1D"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474303CF" w14:textId="1A2FB4D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1</w:t>
      </w:r>
      <w:r w:rsidR="00F129CE" w:rsidRPr="008C7353">
        <w:rPr>
          <w:lang w:val="fr-FR"/>
        </w:rPr>
        <w:t>0</w:t>
      </w:r>
      <w:r w:rsidRPr="008C7353">
        <w:rPr>
          <w:lang w:val="fr-FR"/>
        </w:rPr>
        <w:t xml:space="preserve"> </w:t>
      </w:r>
      <w:r w:rsidR="00DF6901" w:rsidRPr="008C7353">
        <w:rPr>
          <w:lang w:val="fr-FR"/>
        </w:rPr>
        <w:t>c</w:t>
      </w:r>
      <w:r w:rsidR="00F129CE" w:rsidRPr="008C7353">
        <w:rPr>
          <w:lang w:val="fr-FR"/>
        </w:rPr>
        <w:t xml:space="preserve"> (new)</w:t>
      </w:r>
      <w:r w:rsidRPr="008C7353">
        <w:rPr>
          <w:rStyle w:val="HideTWBExt"/>
          <w:lang w:val="fr-FR"/>
        </w:rPr>
        <w:t>&lt;/Article&gt;</w:t>
      </w:r>
    </w:p>
    <w:p w14:paraId="70F5FCC7" w14:textId="77777777" w:rsidR="00EE4038" w:rsidRPr="008C7353" w:rsidRDefault="00EE4038" w:rsidP="00EE4038">
      <w:pPr>
        <w:keepNext/>
        <w:rPr>
          <w:lang w:val="fr-FR"/>
        </w:rPr>
      </w:pPr>
      <w:r w:rsidRPr="008C7353">
        <w:rPr>
          <w:rStyle w:val="HideTWBExt"/>
          <w:lang w:val="fr-FR"/>
        </w:rPr>
        <w:t>&lt;DocAmend2&gt;</w:t>
      </w:r>
      <w:r w:rsidRPr="008C7353">
        <w:rPr>
          <w:lang w:val="fr-FR"/>
        </w:rPr>
        <w:t>Directive (EU) 2024/1760</w:t>
      </w:r>
      <w:r w:rsidRPr="008C7353">
        <w:rPr>
          <w:rStyle w:val="HideTWBExt"/>
          <w:lang w:val="fr-FR"/>
        </w:rPr>
        <w:t>&lt;/DocAmend2&gt;</w:t>
      </w:r>
    </w:p>
    <w:p w14:paraId="27EF63AB" w14:textId="77777777" w:rsidR="00EE4038" w:rsidRPr="008C7353" w:rsidRDefault="00EE4038" w:rsidP="00EE4038">
      <w:pPr>
        <w:rPr>
          <w:lang w:val="fr-FR"/>
        </w:rPr>
      </w:pPr>
      <w:r w:rsidRPr="008C7353">
        <w:rPr>
          <w:rStyle w:val="HideTWBExt"/>
          <w:lang w:val="fr-FR"/>
        </w:rPr>
        <w:t>&lt;Article2&gt;</w:t>
      </w:r>
      <w:r w:rsidRPr="008C7353">
        <w:rPr>
          <w:lang w:val="fr-FR"/>
        </w:rPr>
        <w:t>Article 27</w:t>
      </w:r>
      <w:r w:rsidR="00E33574" w:rsidRPr="008C7353">
        <w:rPr>
          <w:lang w:val="fr-FR"/>
        </w:rPr>
        <w:t xml:space="preserve"> – paragraph 2 – point d</w:t>
      </w:r>
      <w:r w:rsidRPr="008C7353">
        <w:rPr>
          <w:rStyle w:val="HideTWBExt"/>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8C7353" w14:paraId="1E450C0C" w14:textId="77777777" w:rsidTr="007C3CBA">
        <w:trPr>
          <w:jc w:val="center"/>
        </w:trPr>
        <w:tc>
          <w:tcPr>
            <w:tcW w:w="9752" w:type="dxa"/>
            <w:gridSpan w:val="2"/>
          </w:tcPr>
          <w:p w14:paraId="25CF56E3" w14:textId="77777777" w:rsidR="00EE4038" w:rsidRPr="008C7353" w:rsidRDefault="00EE4038">
            <w:pPr>
              <w:keepNext/>
              <w:rPr>
                <w:lang w:val="fr-FR"/>
              </w:rPr>
            </w:pPr>
          </w:p>
        </w:tc>
      </w:tr>
      <w:tr w:rsidR="00EE4038" w:rsidRPr="00941D7C" w14:paraId="1C3DBD20" w14:textId="77777777" w:rsidTr="007C3CBA">
        <w:trPr>
          <w:jc w:val="center"/>
        </w:trPr>
        <w:tc>
          <w:tcPr>
            <w:tcW w:w="4876" w:type="dxa"/>
            <w:hideMark/>
          </w:tcPr>
          <w:p w14:paraId="59EBEA12"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4A7F99D8" w14:textId="77777777" w:rsidR="00EE4038" w:rsidRPr="00941D7C" w:rsidRDefault="00EE4038">
            <w:pPr>
              <w:pStyle w:val="ColumnHeading"/>
              <w:keepNext/>
              <w:rPr>
                <w:lang w:val="en-GB"/>
              </w:rPr>
            </w:pPr>
            <w:r w:rsidRPr="00941D7C">
              <w:rPr>
                <w:lang w:val="en-GB"/>
              </w:rPr>
              <w:t>Amendment</w:t>
            </w:r>
          </w:p>
        </w:tc>
      </w:tr>
      <w:tr w:rsidR="00EE4038" w:rsidRPr="00941D7C" w14:paraId="69352398" w14:textId="77777777" w:rsidTr="007C3CBA">
        <w:trPr>
          <w:jc w:val="center"/>
        </w:trPr>
        <w:tc>
          <w:tcPr>
            <w:tcW w:w="4876" w:type="dxa"/>
          </w:tcPr>
          <w:p w14:paraId="2E0DFD7E" w14:textId="77777777" w:rsidR="00EE4038" w:rsidRPr="00941D7C" w:rsidRDefault="00EE4038">
            <w:pPr>
              <w:pStyle w:val="Normal6"/>
              <w:rPr>
                <w:lang w:val="en-GB"/>
              </w:rPr>
            </w:pPr>
          </w:p>
        </w:tc>
        <w:tc>
          <w:tcPr>
            <w:tcW w:w="4876" w:type="dxa"/>
            <w:hideMark/>
          </w:tcPr>
          <w:p w14:paraId="69C29759" w14:textId="04C87465" w:rsidR="00EE4038" w:rsidRPr="00941D7C" w:rsidRDefault="00EE4038" w:rsidP="00F129CE">
            <w:pPr>
              <w:pStyle w:val="Normal6"/>
              <w:rPr>
                <w:lang w:val="en-GB"/>
              </w:rPr>
            </w:pPr>
            <w:r w:rsidRPr="00941D7C">
              <w:rPr>
                <w:b/>
                <w:i/>
                <w:lang w:val="en-GB"/>
              </w:rPr>
              <w:t>(</w:t>
            </w:r>
            <w:r w:rsidR="00F129CE" w:rsidRPr="00941D7C">
              <w:rPr>
                <w:b/>
                <w:i/>
                <w:lang w:val="en-GB"/>
              </w:rPr>
              <w:t>10</w:t>
            </w:r>
            <w:r w:rsidR="00DF6901" w:rsidRPr="00941D7C">
              <w:rPr>
                <w:b/>
                <w:i/>
                <w:lang w:val="en-GB"/>
              </w:rPr>
              <w:t>c</w:t>
            </w:r>
            <w:r w:rsidRPr="00941D7C">
              <w:rPr>
                <w:b/>
                <w:i/>
                <w:lang w:val="en-GB"/>
              </w:rPr>
              <w:t>)</w:t>
            </w:r>
            <w:r w:rsidR="00CC790A" w:rsidRPr="00941D7C">
              <w:rPr>
                <w:b/>
                <w:i/>
                <w:lang w:val="en-GB"/>
              </w:rPr>
              <w:tab/>
            </w:r>
            <w:r w:rsidRPr="00941D7C">
              <w:rPr>
                <w:b/>
                <w:i/>
                <w:lang w:val="en-GB"/>
              </w:rPr>
              <w:t xml:space="preserve">in </w:t>
            </w:r>
            <w:r w:rsidR="00F129CE" w:rsidRPr="00941D7C">
              <w:rPr>
                <w:b/>
                <w:i/>
                <w:lang w:val="en-GB"/>
              </w:rPr>
              <w:t>Article 27(</w:t>
            </w:r>
            <w:r w:rsidRPr="00941D7C">
              <w:rPr>
                <w:b/>
                <w:i/>
                <w:lang w:val="en-GB"/>
              </w:rPr>
              <w:t>2</w:t>
            </w:r>
            <w:r w:rsidR="00F129CE" w:rsidRPr="00941D7C">
              <w:rPr>
                <w:b/>
                <w:i/>
                <w:lang w:val="en-GB"/>
              </w:rPr>
              <w:t>)</w:t>
            </w:r>
            <w:r w:rsidRPr="00941D7C">
              <w:rPr>
                <w:b/>
                <w:i/>
                <w:lang w:val="en-GB"/>
              </w:rPr>
              <w:t>, point (d) is deleted;</w:t>
            </w:r>
          </w:p>
        </w:tc>
      </w:tr>
    </w:tbl>
    <w:p w14:paraId="11B2E0F3"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166C8D31" w14:textId="77777777" w:rsidR="00EE4038" w:rsidRPr="00941D7C" w:rsidRDefault="00EE4038" w:rsidP="00EE4038">
      <w:r w:rsidRPr="00941D7C">
        <w:rPr>
          <w:rStyle w:val="HideTWBExt"/>
        </w:rPr>
        <w:t>&lt;/Amend&gt;</w:t>
      </w:r>
    </w:p>
    <w:p w14:paraId="5D714C24" w14:textId="490BFFF4"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81</w:t>
      </w:r>
      <w:r w:rsidRPr="00941D7C">
        <w:rPr>
          <w:rStyle w:val="HideTWBExt"/>
          <w:lang w:val="en-GB"/>
        </w:rPr>
        <w:t>&lt;/NumAm&gt;</w:t>
      </w:r>
    </w:p>
    <w:p w14:paraId="5E82FBE2"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62060223" w14:textId="77777777" w:rsidR="00EE4038" w:rsidRPr="008C7353" w:rsidRDefault="00EE4038" w:rsidP="00EE4038">
      <w:pPr>
        <w:pStyle w:val="NormalBold"/>
        <w:rPr>
          <w:lang w:val="fr-FR"/>
        </w:rPr>
      </w:pPr>
      <w:r w:rsidRPr="008C7353">
        <w:rPr>
          <w:rStyle w:val="HideTWBExt"/>
          <w:lang w:val="fr-FR"/>
        </w:rPr>
        <w:t>&lt;Article&gt;</w:t>
      </w:r>
      <w:r w:rsidRPr="008C7353">
        <w:rPr>
          <w:lang w:val="fr-FR"/>
        </w:rPr>
        <w:t>Article 4 – paragraph 1 – point 13</w:t>
      </w:r>
      <w:r w:rsidR="00E33574" w:rsidRPr="008C7353">
        <w:rPr>
          <w:lang w:val="fr-FR"/>
        </w:rPr>
        <w:t xml:space="preserve"> a (new)</w:t>
      </w:r>
      <w:r w:rsidRPr="008C7353">
        <w:rPr>
          <w:rStyle w:val="HideTWBExt"/>
          <w:lang w:val="fr-FR"/>
        </w:rPr>
        <w:t>&lt;/Article&gt;</w:t>
      </w:r>
    </w:p>
    <w:p w14:paraId="1B8CEE48" w14:textId="77777777" w:rsidR="00EE4038" w:rsidRPr="008C7353" w:rsidRDefault="00EE4038" w:rsidP="00EE4038">
      <w:pPr>
        <w:keepNext/>
        <w:rPr>
          <w:lang w:val="fr-FR"/>
        </w:rPr>
      </w:pPr>
      <w:r w:rsidRPr="008C7353">
        <w:rPr>
          <w:rStyle w:val="HideTWBExt"/>
          <w:lang w:val="fr-FR"/>
        </w:rPr>
        <w:t>&lt;DocAmend2&gt;</w:t>
      </w:r>
      <w:r w:rsidRPr="008C7353">
        <w:rPr>
          <w:lang w:val="fr-FR"/>
        </w:rPr>
        <w:t>Directive (EU) 2024/1760</w:t>
      </w:r>
      <w:r w:rsidRPr="008C7353">
        <w:rPr>
          <w:rStyle w:val="HideTWBExt"/>
          <w:lang w:val="fr-FR"/>
        </w:rPr>
        <w:t>&lt;/DocAmend2&gt;</w:t>
      </w:r>
    </w:p>
    <w:p w14:paraId="089DF369" w14:textId="77777777" w:rsidR="00EE4038" w:rsidRPr="008C7353" w:rsidRDefault="00EE4038" w:rsidP="00EE4038">
      <w:pPr>
        <w:rPr>
          <w:lang w:val="fr-FR"/>
        </w:rPr>
      </w:pPr>
      <w:r w:rsidRPr="008C7353">
        <w:rPr>
          <w:rStyle w:val="HideTWBExt"/>
          <w:lang w:val="fr-FR"/>
        </w:rPr>
        <w:t>&lt;Article2&gt;</w:t>
      </w:r>
      <w:r w:rsidRPr="008C7353">
        <w:rPr>
          <w:lang w:val="fr-FR"/>
        </w:rPr>
        <w:t>Article 36</w:t>
      </w:r>
      <w:r w:rsidR="00F129CE" w:rsidRPr="008C7353">
        <w:rPr>
          <w:lang w:val="fr-FR"/>
        </w:rPr>
        <w:t xml:space="preserve"> – paragraph 2 – point e</w:t>
      </w:r>
      <w:r w:rsidRPr="008C7353">
        <w:rPr>
          <w:rStyle w:val="HideTWBExt"/>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E4038" w:rsidRPr="008C7353" w14:paraId="5BC23365" w14:textId="77777777" w:rsidTr="007C3CBA">
        <w:trPr>
          <w:jc w:val="center"/>
        </w:trPr>
        <w:tc>
          <w:tcPr>
            <w:tcW w:w="9752" w:type="dxa"/>
            <w:gridSpan w:val="2"/>
          </w:tcPr>
          <w:p w14:paraId="2E8FBFEA" w14:textId="77777777" w:rsidR="00EE4038" w:rsidRPr="008C7353" w:rsidRDefault="00EE4038">
            <w:pPr>
              <w:keepNext/>
              <w:rPr>
                <w:lang w:val="fr-FR"/>
              </w:rPr>
            </w:pPr>
          </w:p>
        </w:tc>
      </w:tr>
      <w:tr w:rsidR="00EE4038" w:rsidRPr="00941D7C" w14:paraId="376AB143" w14:textId="77777777" w:rsidTr="007C3CBA">
        <w:trPr>
          <w:jc w:val="center"/>
        </w:trPr>
        <w:tc>
          <w:tcPr>
            <w:tcW w:w="4876" w:type="dxa"/>
            <w:hideMark/>
          </w:tcPr>
          <w:p w14:paraId="443A9D28"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17ABDDDA" w14:textId="77777777" w:rsidR="00EE4038" w:rsidRPr="00941D7C" w:rsidRDefault="00EE4038">
            <w:pPr>
              <w:pStyle w:val="ColumnHeading"/>
              <w:keepNext/>
              <w:rPr>
                <w:lang w:val="en-GB"/>
              </w:rPr>
            </w:pPr>
            <w:r w:rsidRPr="00941D7C">
              <w:rPr>
                <w:lang w:val="en-GB"/>
              </w:rPr>
              <w:t>Amendment</w:t>
            </w:r>
          </w:p>
        </w:tc>
      </w:tr>
      <w:tr w:rsidR="00EE4038" w:rsidRPr="00941D7C" w14:paraId="400A9083" w14:textId="77777777" w:rsidTr="007C3CBA">
        <w:trPr>
          <w:jc w:val="center"/>
        </w:trPr>
        <w:tc>
          <w:tcPr>
            <w:tcW w:w="4876" w:type="dxa"/>
          </w:tcPr>
          <w:p w14:paraId="394478AC" w14:textId="77777777" w:rsidR="00EE4038" w:rsidRPr="00941D7C" w:rsidRDefault="00EE4038">
            <w:pPr>
              <w:pStyle w:val="Normal6"/>
              <w:rPr>
                <w:lang w:val="en-GB"/>
              </w:rPr>
            </w:pPr>
          </w:p>
        </w:tc>
        <w:tc>
          <w:tcPr>
            <w:tcW w:w="4876" w:type="dxa"/>
            <w:hideMark/>
          </w:tcPr>
          <w:p w14:paraId="12D63DB9" w14:textId="2C91B06A" w:rsidR="00EE4038" w:rsidRPr="00941D7C" w:rsidRDefault="00EE4038" w:rsidP="00E33574">
            <w:pPr>
              <w:pStyle w:val="Normal6"/>
              <w:rPr>
                <w:szCs w:val="24"/>
                <w:lang w:val="en-GB"/>
              </w:rPr>
            </w:pPr>
            <w:r w:rsidRPr="00941D7C">
              <w:rPr>
                <w:b/>
                <w:i/>
                <w:lang w:val="en-GB"/>
              </w:rPr>
              <w:t>(</w:t>
            </w:r>
            <w:r w:rsidR="00E33574" w:rsidRPr="00941D7C">
              <w:rPr>
                <w:b/>
                <w:i/>
                <w:lang w:val="en-GB"/>
              </w:rPr>
              <w:t>13a</w:t>
            </w:r>
            <w:r w:rsidRPr="00941D7C">
              <w:rPr>
                <w:b/>
                <w:i/>
                <w:lang w:val="en-GB"/>
              </w:rPr>
              <w:t>)</w:t>
            </w:r>
            <w:r w:rsidR="00F129CE" w:rsidRPr="00941D7C">
              <w:rPr>
                <w:b/>
                <w:i/>
                <w:lang w:val="en-GB"/>
              </w:rPr>
              <w:tab/>
            </w:r>
            <w:r w:rsidRPr="00941D7C">
              <w:rPr>
                <w:b/>
                <w:i/>
                <w:lang w:val="en-GB"/>
              </w:rPr>
              <w:t xml:space="preserve">in </w:t>
            </w:r>
            <w:r w:rsidR="00F129CE" w:rsidRPr="00941D7C">
              <w:rPr>
                <w:b/>
                <w:i/>
                <w:lang w:val="en-GB"/>
              </w:rPr>
              <w:t>Article 36(</w:t>
            </w:r>
            <w:r w:rsidRPr="00941D7C">
              <w:rPr>
                <w:b/>
                <w:i/>
                <w:lang w:val="en-GB"/>
              </w:rPr>
              <w:t>2</w:t>
            </w:r>
            <w:r w:rsidR="00F129CE" w:rsidRPr="00941D7C">
              <w:rPr>
                <w:b/>
                <w:i/>
                <w:lang w:val="en-GB"/>
              </w:rPr>
              <w:t>)</w:t>
            </w:r>
            <w:r w:rsidRPr="00941D7C">
              <w:rPr>
                <w:b/>
                <w:i/>
                <w:lang w:val="en-GB"/>
              </w:rPr>
              <w:t>, point (e) is deleted</w:t>
            </w:r>
            <w:r w:rsidRPr="00941D7C">
              <w:rPr>
                <w:lang w:val="en-GB"/>
              </w:rPr>
              <w:t>.</w:t>
            </w:r>
          </w:p>
        </w:tc>
      </w:tr>
    </w:tbl>
    <w:p w14:paraId="7056D52B"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4E3CBBD2" w14:textId="77777777" w:rsidR="00EE4038" w:rsidRPr="00941D7C" w:rsidRDefault="00EE4038" w:rsidP="00EE4038">
      <w:r w:rsidRPr="00941D7C">
        <w:rPr>
          <w:rStyle w:val="HideTWBExt"/>
        </w:rPr>
        <w:t>&lt;/Amend&gt;</w:t>
      </w:r>
    </w:p>
    <w:p w14:paraId="0AFE4208" w14:textId="6C29A7C6" w:rsidR="00EE4038" w:rsidRPr="00941D7C" w:rsidRDefault="00EE4038" w:rsidP="00EE4038">
      <w:pPr>
        <w:pStyle w:val="AMNumberTabs0"/>
        <w:keepNext/>
        <w:rPr>
          <w:lang w:val="en-GB"/>
        </w:rPr>
      </w:pPr>
      <w:r w:rsidRPr="00941D7C">
        <w:rPr>
          <w:rStyle w:val="HideTWBExt"/>
          <w:lang w:val="en-GB"/>
        </w:rPr>
        <w:t>&lt;Amend&gt;</w:t>
      </w:r>
      <w:r w:rsidRPr="00941D7C">
        <w:rPr>
          <w:lang w:val="en-GB"/>
        </w:rPr>
        <w:t>Amendment</w:t>
      </w:r>
      <w:r w:rsidRPr="00941D7C">
        <w:rPr>
          <w:lang w:val="en-GB"/>
        </w:rPr>
        <w:tab/>
      </w:r>
      <w:r w:rsidRPr="00941D7C">
        <w:rPr>
          <w:lang w:val="en-GB"/>
        </w:rPr>
        <w:tab/>
      </w:r>
      <w:r w:rsidRPr="00941D7C">
        <w:rPr>
          <w:rStyle w:val="HideTWBExt"/>
          <w:lang w:val="en-GB"/>
        </w:rPr>
        <w:t>&lt;NumAm&gt;</w:t>
      </w:r>
      <w:r w:rsidR="00CC790A" w:rsidRPr="00941D7C">
        <w:rPr>
          <w:lang w:val="en-GB"/>
        </w:rPr>
        <w:t>82</w:t>
      </w:r>
      <w:r w:rsidRPr="00941D7C">
        <w:rPr>
          <w:rStyle w:val="HideTWBExt"/>
          <w:lang w:val="en-GB"/>
        </w:rPr>
        <w:t>&lt;/NumAm&gt;</w:t>
      </w:r>
    </w:p>
    <w:p w14:paraId="5737DF1B" w14:textId="77777777" w:rsidR="00EE4038" w:rsidRPr="00941D7C" w:rsidRDefault="00EE4038" w:rsidP="00EE4038">
      <w:pPr>
        <w:pStyle w:val="NormalBold12b"/>
        <w:keepNext/>
      </w:pPr>
      <w:r w:rsidRPr="00941D7C">
        <w:rPr>
          <w:rStyle w:val="HideTWBExt"/>
        </w:rPr>
        <w:t>&lt;DocAmend&gt;</w:t>
      </w:r>
      <w:r w:rsidRPr="00941D7C">
        <w:t>Proposal for a directive</w:t>
      </w:r>
      <w:r w:rsidRPr="00941D7C">
        <w:rPr>
          <w:rStyle w:val="HideTWBExt"/>
        </w:rPr>
        <w:t>&lt;/DocAmend&gt;</w:t>
      </w:r>
    </w:p>
    <w:p w14:paraId="1577037A" w14:textId="77777777" w:rsidR="00EE4038" w:rsidRPr="00941D7C" w:rsidRDefault="00EE4038" w:rsidP="00EE4038">
      <w:pPr>
        <w:pStyle w:val="NormalBold"/>
      </w:pPr>
      <w:r w:rsidRPr="00941D7C">
        <w:rPr>
          <w:rStyle w:val="HideTWBExt"/>
        </w:rPr>
        <w:t>&lt;Article&gt;</w:t>
      </w:r>
      <w:r w:rsidRPr="00941D7C">
        <w:t>Article 4 a (new)</w:t>
      </w:r>
      <w:r w:rsidRPr="00941D7C">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E4038" w:rsidRPr="00941D7C" w14:paraId="0245DA12" w14:textId="77777777" w:rsidTr="00EE4038">
        <w:trPr>
          <w:jc w:val="center"/>
        </w:trPr>
        <w:tc>
          <w:tcPr>
            <w:tcW w:w="9752" w:type="dxa"/>
            <w:gridSpan w:val="2"/>
          </w:tcPr>
          <w:p w14:paraId="11CD0BAE" w14:textId="77777777" w:rsidR="00EE4038" w:rsidRPr="00941D7C" w:rsidRDefault="00EE4038">
            <w:pPr>
              <w:keepNext/>
            </w:pPr>
          </w:p>
        </w:tc>
      </w:tr>
      <w:tr w:rsidR="00EE4038" w:rsidRPr="00941D7C" w14:paraId="1520E632" w14:textId="77777777" w:rsidTr="00EE4038">
        <w:trPr>
          <w:jc w:val="center"/>
        </w:trPr>
        <w:tc>
          <w:tcPr>
            <w:tcW w:w="4876" w:type="dxa"/>
            <w:hideMark/>
          </w:tcPr>
          <w:p w14:paraId="4CCB9F6F" w14:textId="77777777" w:rsidR="00EE4038" w:rsidRPr="00941D7C" w:rsidRDefault="00EE4038">
            <w:pPr>
              <w:pStyle w:val="ColumnHeading"/>
              <w:keepNext/>
              <w:rPr>
                <w:lang w:val="en-GB"/>
              </w:rPr>
            </w:pPr>
            <w:r w:rsidRPr="00941D7C">
              <w:rPr>
                <w:lang w:val="en-GB"/>
              </w:rPr>
              <w:t>Text proposed by the Commission</w:t>
            </w:r>
          </w:p>
        </w:tc>
        <w:tc>
          <w:tcPr>
            <w:tcW w:w="4876" w:type="dxa"/>
            <w:hideMark/>
          </w:tcPr>
          <w:p w14:paraId="3AB03653" w14:textId="77777777" w:rsidR="00EE4038" w:rsidRPr="00941D7C" w:rsidRDefault="00EE4038">
            <w:pPr>
              <w:pStyle w:val="ColumnHeading"/>
              <w:keepNext/>
              <w:rPr>
                <w:lang w:val="en-GB"/>
              </w:rPr>
            </w:pPr>
            <w:r w:rsidRPr="00941D7C">
              <w:rPr>
                <w:lang w:val="en-GB"/>
              </w:rPr>
              <w:t>Amendment</w:t>
            </w:r>
          </w:p>
        </w:tc>
      </w:tr>
      <w:tr w:rsidR="00EE4038" w:rsidRPr="00941D7C" w14:paraId="4442AEB2" w14:textId="77777777" w:rsidTr="00EE4038">
        <w:trPr>
          <w:jc w:val="center"/>
        </w:trPr>
        <w:tc>
          <w:tcPr>
            <w:tcW w:w="4876" w:type="dxa"/>
          </w:tcPr>
          <w:p w14:paraId="2A2BD00D" w14:textId="77777777" w:rsidR="00EE4038" w:rsidRPr="00941D7C" w:rsidRDefault="00EE4038">
            <w:pPr>
              <w:pStyle w:val="Normal6"/>
              <w:rPr>
                <w:lang w:val="en-GB"/>
              </w:rPr>
            </w:pPr>
          </w:p>
        </w:tc>
        <w:tc>
          <w:tcPr>
            <w:tcW w:w="4876" w:type="dxa"/>
            <w:hideMark/>
          </w:tcPr>
          <w:p w14:paraId="6DD94BED" w14:textId="15164BE5" w:rsidR="00EE4038" w:rsidRPr="00941D7C" w:rsidRDefault="00EE4038">
            <w:pPr>
              <w:pStyle w:val="Normal6"/>
              <w:jc w:val="center"/>
              <w:rPr>
                <w:szCs w:val="24"/>
                <w:lang w:val="en-GB"/>
              </w:rPr>
            </w:pPr>
            <w:r w:rsidRPr="00941D7C">
              <w:rPr>
                <w:b/>
                <w:i/>
                <w:lang w:val="en-GB"/>
              </w:rPr>
              <w:t>Article 4a</w:t>
            </w:r>
          </w:p>
        </w:tc>
      </w:tr>
      <w:tr w:rsidR="00EE4038" w:rsidRPr="00941D7C" w14:paraId="5D8C0C58" w14:textId="77777777" w:rsidTr="00EE4038">
        <w:trPr>
          <w:jc w:val="center"/>
        </w:trPr>
        <w:tc>
          <w:tcPr>
            <w:tcW w:w="4876" w:type="dxa"/>
          </w:tcPr>
          <w:p w14:paraId="4D34B635" w14:textId="77777777" w:rsidR="00EE4038" w:rsidRPr="00941D7C" w:rsidRDefault="00EE4038">
            <w:pPr>
              <w:pStyle w:val="Normal6"/>
              <w:rPr>
                <w:lang w:val="en-GB"/>
              </w:rPr>
            </w:pPr>
          </w:p>
        </w:tc>
        <w:tc>
          <w:tcPr>
            <w:tcW w:w="4876" w:type="dxa"/>
            <w:hideMark/>
          </w:tcPr>
          <w:p w14:paraId="7A3EFD65" w14:textId="77777777" w:rsidR="00EE4038" w:rsidRPr="00941D7C" w:rsidRDefault="00EE4038">
            <w:pPr>
              <w:pStyle w:val="Normal6"/>
              <w:jc w:val="center"/>
              <w:rPr>
                <w:szCs w:val="24"/>
                <w:lang w:val="en-GB"/>
              </w:rPr>
            </w:pPr>
            <w:r w:rsidRPr="00941D7C">
              <w:rPr>
                <w:b/>
                <w:i/>
                <w:lang w:val="en-GB"/>
              </w:rPr>
              <w:t>Digital solutions</w:t>
            </w:r>
          </w:p>
        </w:tc>
      </w:tr>
      <w:tr w:rsidR="00EE4038" w:rsidRPr="00941D7C" w14:paraId="1F03AA2F" w14:textId="77777777" w:rsidTr="00EE4038">
        <w:trPr>
          <w:jc w:val="center"/>
        </w:trPr>
        <w:tc>
          <w:tcPr>
            <w:tcW w:w="4876" w:type="dxa"/>
          </w:tcPr>
          <w:p w14:paraId="60C26129" w14:textId="77777777" w:rsidR="00EE4038" w:rsidRPr="00941D7C" w:rsidRDefault="00EE4038">
            <w:pPr>
              <w:pStyle w:val="Normal6"/>
              <w:rPr>
                <w:lang w:val="en-GB"/>
              </w:rPr>
            </w:pPr>
          </w:p>
        </w:tc>
        <w:tc>
          <w:tcPr>
            <w:tcW w:w="4876" w:type="dxa"/>
            <w:hideMark/>
          </w:tcPr>
          <w:p w14:paraId="1C164FE4" w14:textId="71D1E4D6" w:rsidR="00EE4038" w:rsidRPr="00941D7C" w:rsidRDefault="00EE4038">
            <w:pPr>
              <w:pStyle w:val="Normal6"/>
              <w:rPr>
                <w:szCs w:val="24"/>
                <w:lang w:val="en-GB"/>
              </w:rPr>
            </w:pPr>
            <w:r w:rsidRPr="00941D7C">
              <w:rPr>
                <w:b/>
                <w:i/>
                <w:lang w:val="en-GB"/>
              </w:rPr>
              <w:t>1.</w:t>
            </w:r>
            <w:r w:rsidR="00F129CE" w:rsidRPr="00941D7C">
              <w:rPr>
                <w:b/>
                <w:i/>
                <w:lang w:val="en-GB"/>
              </w:rPr>
              <w:tab/>
            </w:r>
            <w:r w:rsidRPr="00941D7C">
              <w:rPr>
                <w:b/>
                <w:i/>
                <w:lang w:val="en-GB"/>
              </w:rPr>
              <w:t>The Commission shall establish a dedicated digital reporting portal serving as a one-stop-shop for companies. The portal shall provide free access to all templates and information relating to all reporting requirements imposed on companies in Union law, tailored to a company’s size, sector, products and services, and risk exposure. It shall also provide access to information on funding and tendering opportunities to help companies implement, comply with and benefit from their due diligence obligations.</w:t>
            </w:r>
          </w:p>
        </w:tc>
      </w:tr>
      <w:tr w:rsidR="00EE4038" w:rsidRPr="00941D7C" w14:paraId="6D060571" w14:textId="77777777" w:rsidTr="00EE4038">
        <w:trPr>
          <w:jc w:val="center"/>
        </w:trPr>
        <w:tc>
          <w:tcPr>
            <w:tcW w:w="4876" w:type="dxa"/>
          </w:tcPr>
          <w:p w14:paraId="6AA48412" w14:textId="77777777" w:rsidR="00EE4038" w:rsidRPr="00941D7C" w:rsidRDefault="00EE4038">
            <w:pPr>
              <w:pStyle w:val="Normal6"/>
              <w:rPr>
                <w:lang w:val="en-GB"/>
              </w:rPr>
            </w:pPr>
          </w:p>
        </w:tc>
        <w:tc>
          <w:tcPr>
            <w:tcW w:w="4876" w:type="dxa"/>
            <w:hideMark/>
          </w:tcPr>
          <w:p w14:paraId="446B8CD1" w14:textId="1AEE3E63" w:rsidR="00EE4038" w:rsidRPr="00941D7C" w:rsidRDefault="00587B18">
            <w:pPr>
              <w:pStyle w:val="Normal6"/>
              <w:rPr>
                <w:szCs w:val="24"/>
                <w:lang w:val="en-GB"/>
              </w:rPr>
            </w:pPr>
            <w:r w:rsidRPr="00941D7C">
              <w:rPr>
                <w:b/>
                <w:i/>
                <w:lang w:val="en-GB"/>
              </w:rPr>
              <w:t>For the purposes of the first subparagraph</w:t>
            </w:r>
            <w:r w:rsidR="00EE4038" w:rsidRPr="00941D7C">
              <w:rPr>
                <w:b/>
                <w:i/>
                <w:lang w:val="en-GB"/>
              </w:rPr>
              <w:t>, the Commission shall ensure that the relevant data platforms providing information to companies and data users are interoperable and that data can be transmitted, exchanged and analysed in a technically seamless manner.</w:t>
            </w:r>
          </w:p>
        </w:tc>
      </w:tr>
      <w:tr w:rsidR="00EE4038" w:rsidRPr="00941D7C" w14:paraId="5DADAC03" w14:textId="77777777" w:rsidTr="00EE4038">
        <w:trPr>
          <w:jc w:val="center"/>
        </w:trPr>
        <w:tc>
          <w:tcPr>
            <w:tcW w:w="4876" w:type="dxa"/>
          </w:tcPr>
          <w:p w14:paraId="1B0B9FE3" w14:textId="77777777" w:rsidR="00EE4038" w:rsidRPr="00941D7C" w:rsidRDefault="00EE4038">
            <w:pPr>
              <w:pStyle w:val="Normal6"/>
              <w:rPr>
                <w:lang w:val="en-GB"/>
              </w:rPr>
            </w:pPr>
          </w:p>
        </w:tc>
        <w:tc>
          <w:tcPr>
            <w:tcW w:w="4876" w:type="dxa"/>
            <w:hideMark/>
          </w:tcPr>
          <w:p w14:paraId="2801873B" w14:textId="6717FB5D" w:rsidR="00EE4038" w:rsidRPr="00941D7C" w:rsidRDefault="00EE4038" w:rsidP="003C62C4">
            <w:pPr>
              <w:pStyle w:val="Normal6"/>
              <w:rPr>
                <w:szCs w:val="24"/>
                <w:lang w:val="en-GB"/>
              </w:rPr>
            </w:pPr>
            <w:r w:rsidRPr="00941D7C">
              <w:rPr>
                <w:b/>
                <w:i/>
                <w:lang w:val="en-GB"/>
              </w:rPr>
              <w:t>2.</w:t>
            </w:r>
            <w:r w:rsidR="00F129CE" w:rsidRPr="00941D7C">
              <w:rPr>
                <w:b/>
                <w:i/>
                <w:lang w:val="en-GB"/>
              </w:rPr>
              <w:tab/>
            </w:r>
            <w:r w:rsidRPr="00941D7C">
              <w:rPr>
                <w:b/>
                <w:i/>
                <w:lang w:val="en-GB"/>
              </w:rPr>
              <w:t xml:space="preserve">The Commission shall submit a report to the European Parliament and the Council by </w:t>
            </w:r>
            <w:r w:rsidR="00587B18" w:rsidRPr="00941D7C">
              <w:rPr>
                <w:b/>
                <w:i/>
                <w:lang w:val="en-GB"/>
              </w:rPr>
              <w:t xml:space="preserve">... </w:t>
            </w:r>
            <w:r w:rsidRPr="00941D7C">
              <w:rPr>
                <w:b/>
                <w:i/>
                <w:lang w:val="en-GB"/>
              </w:rPr>
              <w:t>[24 months after the entry into force</w:t>
            </w:r>
            <w:r w:rsidR="00587B18" w:rsidRPr="00941D7C">
              <w:rPr>
                <w:b/>
                <w:i/>
                <w:lang w:val="en-GB"/>
              </w:rPr>
              <w:t xml:space="preserve"> of this Directive</w:t>
            </w:r>
            <w:r w:rsidRPr="00941D7C">
              <w:rPr>
                <w:b/>
                <w:i/>
                <w:lang w:val="en-GB"/>
              </w:rPr>
              <w:t>] on the need to provide for technological solutions, including the use of trustworthy artificial intelligence in accordance with Regulation (EU) 2024/1689.</w:t>
            </w:r>
          </w:p>
        </w:tc>
      </w:tr>
    </w:tbl>
    <w:p w14:paraId="6AACD72A" w14:textId="77777777" w:rsidR="00EE4038" w:rsidRPr="00941D7C" w:rsidRDefault="00EE4038" w:rsidP="00EE4038">
      <w:pPr>
        <w:pStyle w:val="Olang"/>
        <w:rPr>
          <w:lang w:val="en-GB"/>
        </w:rPr>
      </w:pPr>
      <w:r w:rsidRPr="00941D7C">
        <w:rPr>
          <w:noProof w:val="0"/>
          <w:lang w:val="en-GB"/>
        </w:rPr>
        <w:t xml:space="preserve">Or. </w:t>
      </w:r>
      <w:r w:rsidRPr="00941D7C">
        <w:rPr>
          <w:rStyle w:val="HideTWBExt"/>
          <w:noProof w:val="0"/>
          <w:lang w:val="en-GB"/>
        </w:rPr>
        <w:t>&lt;Original&gt;</w:t>
      </w:r>
      <w:r w:rsidRPr="00941D7C">
        <w:rPr>
          <w:rStyle w:val="HideTWBInt"/>
          <w:noProof w:val="0"/>
          <w:lang w:val="en-GB"/>
        </w:rPr>
        <w:t>{EN}</w:t>
      </w:r>
      <w:proofErr w:type="spellStart"/>
      <w:r w:rsidRPr="00941D7C">
        <w:rPr>
          <w:noProof w:val="0"/>
          <w:lang w:val="en-GB"/>
        </w:rPr>
        <w:t>en</w:t>
      </w:r>
      <w:proofErr w:type="spellEnd"/>
      <w:r w:rsidRPr="00941D7C">
        <w:rPr>
          <w:rStyle w:val="HideTWBExt"/>
          <w:noProof w:val="0"/>
          <w:lang w:val="en-GB"/>
        </w:rPr>
        <w:t>&lt;/Original&gt;</w:t>
      </w:r>
    </w:p>
    <w:p w14:paraId="03C74B91" w14:textId="77777777" w:rsidR="00EE4038" w:rsidRPr="00941D7C" w:rsidRDefault="00EE4038" w:rsidP="00EE4038">
      <w:r w:rsidRPr="00941D7C">
        <w:rPr>
          <w:rStyle w:val="HideTWBExt"/>
        </w:rPr>
        <w:t>&lt;/Amend&gt;&lt;/RepeatBlock-Amend&gt;</w:t>
      </w:r>
    </w:p>
    <w:p w14:paraId="0FAA9CF8" w14:textId="77777777" w:rsidR="00EE4038" w:rsidRPr="00941D7C" w:rsidRDefault="00EE4038" w:rsidP="00EE4038">
      <w:pPr>
        <w:widowControl/>
        <w:rPr>
          <w:b/>
        </w:rPr>
        <w:sectPr w:rsidR="00EE4038" w:rsidRPr="00941D7C" w:rsidSect="00F165B7">
          <w:footerReference w:type="even" r:id="rId10"/>
          <w:footerReference w:type="default" r:id="rId11"/>
          <w:footerReference w:type="first" r:id="rId12"/>
          <w:footnotePr>
            <w:numRestart w:val="eachSect"/>
          </w:footnotePr>
          <w:endnotePr>
            <w:numFmt w:val="decimal"/>
          </w:endnotePr>
          <w:pgSz w:w="11906" w:h="16838"/>
          <w:pgMar w:top="1134" w:right="1418" w:bottom="1418" w:left="1418" w:header="1134" w:footer="567" w:gutter="0"/>
          <w:cols w:space="720"/>
          <w:titlePg/>
        </w:sectPr>
      </w:pPr>
    </w:p>
    <w:p w14:paraId="1F549EC7" w14:textId="77777777" w:rsidR="00EE4038" w:rsidRPr="00941D7C" w:rsidRDefault="00EE4038" w:rsidP="00EE4038">
      <w:pPr>
        <w:pStyle w:val="PageHeading"/>
      </w:pPr>
      <w:bookmarkStart w:id="2" w:name="_Toc200615190"/>
      <w:r w:rsidRPr="00941D7C">
        <w:t>ANNEX: ENTITIES OR PERSONS</w:t>
      </w:r>
      <w:r w:rsidRPr="00941D7C">
        <w:br/>
        <w:t>FROM WHOM THE RAPPORTEUR HAS RECEIVED INPUT</w:t>
      </w:r>
      <w:bookmarkStart w:id="3" w:name="iEnd"/>
      <w:bookmarkEnd w:id="2"/>
      <w:bookmarkEnd w:id="3"/>
    </w:p>
    <w:p w14:paraId="0C5BF31D" w14:textId="77777777" w:rsidR="00EE4038" w:rsidRPr="00941D7C" w:rsidRDefault="00EE4038" w:rsidP="00EE4038">
      <w:pPr>
        <w:rPr>
          <w:sz w:val="22"/>
          <w:szCs w:val="22"/>
        </w:rPr>
      </w:pPr>
      <w:r w:rsidRPr="00941D7C">
        <w:rPr>
          <w:sz w:val="22"/>
          <w:szCs w:val="22"/>
        </w:rPr>
        <w:t>Pursuant to Article 8 of Annex I to the Rules of Procedure, the rapporteur declares that he received input from the following entities or persons in the preparation of the draft report, prior to the adoption thereof in committee:</w:t>
      </w:r>
    </w:p>
    <w:p w14:paraId="3E8A6991" w14:textId="77777777" w:rsidR="00EE4038" w:rsidRPr="00941D7C" w:rsidRDefault="00EE4038" w:rsidP="00EE4038">
      <w:pPr>
        <w:spacing w:line="200" w:lineRule="exact"/>
        <w:rPr>
          <w:sz w:val="22"/>
          <w:szCs w:val="22"/>
        </w:rPr>
      </w:pPr>
    </w:p>
    <w:tbl>
      <w:tblPr>
        <w:tblW w:w="0" w:type="auto"/>
        <w:tblInd w:w="98" w:type="dxa"/>
        <w:tblLayout w:type="fixed"/>
        <w:tblCellMar>
          <w:left w:w="0" w:type="dxa"/>
          <w:right w:w="0" w:type="dxa"/>
        </w:tblCellMar>
        <w:tblLook w:val="01E0" w:firstRow="1" w:lastRow="1" w:firstColumn="1" w:lastColumn="1" w:noHBand="0" w:noVBand="0"/>
      </w:tblPr>
      <w:tblGrid>
        <w:gridCol w:w="9111"/>
      </w:tblGrid>
      <w:tr w:rsidR="00EE4038" w:rsidRPr="00941D7C" w14:paraId="36C07252" w14:textId="77777777" w:rsidTr="00EE4038">
        <w:trPr>
          <w:trHeight w:val="355"/>
        </w:trPr>
        <w:tc>
          <w:tcPr>
            <w:tcW w:w="9111" w:type="dxa"/>
            <w:tcBorders>
              <w:top w:val="single" w:sz="4" w:space="0" w:color="000000"/>
              <w:left w:val="single" w:sz="4" w:space="0" w:color="000000"/>
              <w:bottom w:val="single" w:sz="4" w:space="0" w:color="000000"/>
              <w:right w:val="single" w:sz="4" w:space="0" w:color="000000"/>
            </w:tcBorders>
            <w:hideMark/>
          </w:tcPr>
          <w:p w14:paraId="5F00A4D5" w14:textId="77777777" w:rsidR="00EE4038" w:rsidRPr="00941D7C" w:rsidRDefault="00EE4038">
            <w:pPr>
              <w:spacing w:line="260" w:lineRule="exact"/>
              <w:ind w:left="3300" w:right="3497"/>
              <w:rPr>
                <w:rFonts w:eastAsia="Calibri"/>
                <w:b/>
                <w:sz w:val="22"/>
                <w:szCs w:val="22"/>
              </w:rPr>
            </w:pPr>
            <w:r w:rsidRPr="00941D7C">
              <w:rPr>
                <w:b/>
                <w:bCs/>
                <w:sz w:val="22"/>
                <w:szCs w:val="22"/>
              </w:rPr>
              <w:t>Entity and/or person</w:t>
            </w:r>
            <w:r w:rsidRPr="00941D7C">
              <w:rPr>
                <w:b/>
                <w:sz w:val="22"/>
                <w:szCs w:val="22"/>
              </w:rPr>
              <w:t xml:space="preserve"> </w:t>
            </w:r>
          </w:p>
        </w:tc>
      </w:tr>
      <w:tr w:rsidR="00EE4038" w:rsidRPr="00941D7C" w14:paraId="4BA58337"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0FEE7FB2" w14:textId="77777777" w:rsidR="00EE4038" w:rsidRPr="00941D7C" w:rsidRDefault="00EE4038">
            <w:pPr>
              <w:rPr>
                <w:sz w:val="22"/>
                <w:szCs w:val="22"/>
              </w:rPr>
            </w:pPr>
            <w:r w:rsidRPr="00941D7C">
              <w:rPr>
                <w:color w:val="1E1E1F"/>
                <w:shd w:val="clear" w:color="auto" w:fill="FFFFFF"/>
              </w:rPr>
              <w:t>EDEKA ZENTRALE Stiftung &amp; Co. KG</w:t>
            </w:r>
          </w:p>
        </w:tc>
      </w:tr>
      <w:tr w:rsidR="00EE4038" w:rsidRPr="00941D7C" w14:paraId="66BC8207"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27A7AD9F" w14:textId="77777777" w:rsidR="00EE4038" w:rsidRPr="00941D7C" w:rsidRDefault="00EE4038">
            <w:pPr>
              <w:shd w:val="clear" w:color="auto" w:fill="FFFFFF"/>
              <w:rPr>
                <w:rFonts w:eastAsiaTheme="minorHAnsi"/>
                <w:sz w:val="22"/>
                <w:szCs w:val="22"/>
              </w:rPr>
            </w:pPr>
            <w:r w:rsidRPr="00941D7C">
              <w:rPr>
                <w:color w:val="1E1E1F"/>
              </w:rPr>
              <w:t>Save the Children Europe</w:t>
            </w:r>
          </w:p>
        </w:tc>
      </w:tr>
      <w:tr w:rsidR="00EE4038" w:rsidRPr="00941D7C" w14:paraId="5758B275"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68D53B81" w14:textId="77777777" w:rsidR="00EE4038" w:rsidRPr="00941D7C" w:rsidRDefault="00EE4038">
            <w:pPr>
              <w:rPr>
                <w:sz w:val="22"/>
                <w:szCs w:val="22"/>
              </w:rPr>
            </w:pPr>
            <w:r w:rsidRPr="00941D7C">
              <w:rPr>
                <w:color w:val="1E1E1F"/>
              </w:rPr>
              <w:t>Finance Sweden</w:t>
            </w:r>
          </w:p>
        </w:tc>
      </w:tr>
      <w:tr w:rsidR="00EE4038" w:rsidRPr="00941D7C" w14:paraId="5652D6EA"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00C3103E" w14:textId="77777777" w:rsidR="00EE4038" w:rsidRPr="00941D7C" w:rsidRDefault="00EE4038">
            <w:pPr>
              <w:rPr>
                <w:color w:val="1E1E1F"/>
              </w:rPr>
            </w:pPr>
            <w:r w:rsidRPr="00941D7C">
              <w:rPr>
                <w:color w:val="1E1E1F"/>
                <w:shd w:val="clear" w:color="auto" w:fill="FFFFFF"/>
              </w:rPr>
              <w:t>Morningstar, Inc</w:t>
            </w:r>
          </w:p>
        </w:tc>
      </w:tr>
      <w:tr w:rsidR="00EE4038" w:rsidRPr="00941D7C" w14:paraId="33A98F54"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430BB849" w14:textId="77777777" w:rsidR="00EE4038" w:rsidRPr="00941D7C" w:rsidRDefault="00EE4038">
            <w:pPr>
              <w:rPr>
                <w:color w:val="1E1E1F"/>
                <w:szCs w:val="24"/>
              </w:rPr>
            </w:pPr>
            <w:r w:rsidRPr="00941D7C">
              <w:rPr>
                <w:color w:val="1E1E1F"/>
                <w:shd w:val="clear" w:color="auto" w:fill="FFFFFF"/>
              </w:rPr>
              <w:t>Shift</w:t>
            </w:r>
          </w:p>
        </w:tc>
      </w:tr>
      <w:tr w:rsidR="00EE4038" w:rsidRPr="00941D7C" w14:paraId="27A9E2E2"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0AEC55F2" w14:textId="77777777" w:rsidR="00EE4038" w:rsidRPr="00941D7C" w:rsidRDefault="00EE4038">
            <w:pPr>
              <w:rPr>
                <w:color w:val="1E1E1F"/>
              </w:rPr>
            </w:pPr>
            <w:r w:rsidRPr="00941D7C">
              <w:rPr>
                <w:color w:val="1E1E1F"/>
                <w:shd w:val="clear" w:color="auto" w:fill="FFFFFF"/>
              </w:rPr>
              <w:t>Confederation of Swedish Enterprise</w:t>
            </w:r>
          </w:p>
        </w:tc>
      </w:tr>
      <w:tr w:rsidR="00EE4038" w:rsidRPr="00941D7C" w14:paraId="140F3016"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3B71B3E5" w14:textId="77777777" w:rsidR="00EE4038" w:rsidRPr="00941D7C" w:rsidRDefault="00EE4038">
            <w:pPr>
              <w:rPr>
                <w:color w:val="1E1E1F"/>
              </w:rPr>
            </w:pPr>
            <w:r w:rsidRPr="00941D7C">
              <w:rPr>
                <w:color w:val="1E1E1F"/>
                <w:shd w:val="clear" w:color="auto" w:fill="FFFFFF"/>
              </w:rPr>
              <w:t>Confederation of Finnish Industries EK</w:t>
            </w:r>
          </w:p>
        </w:tc>
      </w:tr>
      <w:tr w:rsidR="00EE4038" w:rsidRPr="00941D7C" w14:paraId="1683FC00"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25B471F1" w14:textId="77777777" w:rsidR="00EE4038" w:rsidRPr="00941D7C" w:rsidRDefault="00EE4038">
            <w:pPr>
              <w:rPr>
                <w:color w:val="1E1E1F"/>
              </w:rPr>
            </w:pPr>
            <w:r w:rsidRPr="00941D7C">
              <w:rPr>
                <w:color w:val="1E1E1F"/>
                <w:shd w:val="clear" w:color="auto" w:fill="FFFFFF"/>
              </w:rPr>
              <w:t>Business Europe</w:t>
            </w:r>
          </w:p>
        </w:tc>
      </w:tr>
      <w:tr w:rsidR="00EE4038" w:rsidRPr="00941D7C" w14:paraId="76877FA2"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6067507C" w14:textId="77777777" w:rsidR="00EE4038" w:rsidRPr="00941D7C" w:rsidRDefault="00EE4038">
            <w:pPr>
              <w:rPr>
                <w:color w:val="1E1E1F"/>
              </w:rPr>
            </w:pPr>
            <w:r w:rsidRPr="00941D7C">
              <w:rPr>
                <w:color w:val="1E1E1F"/>
                <w:shd w:val="clear" w:color="auto" w:fill="FFFFFF"/>
              </w:rPr>
              <w:t>Ragn Sells AS</w:t>
            </w:r>
          </w:p>
        </w:tc>
      </w:tr>
      <w:tr w:rsidR="00EE4038" w:rsidRPr="00941D7C" w14:paraId="5801E703"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47385AD8" w14:textId="77777777" w:rsidR="00EE4038" w:rsidRPr="00941D7C" w:rsidRDefault="00EE4038">
            <w:pPr>
              <w:rPr>
                <w:color w:val="1E1E1F"/>
              </w:rPr>
            </w:pPr>
            <w:r w:rsidRPr="00941D7C">
              <w:rPr>
                <w:color w:val="1E1E1F"/>
                <w:shd w:val="clear" w:color="auto" w:fill="FFFFFF"/>
              </w:rPr>
              <w:t>Brussels Office of the Swedish Trade Unions</w:t>
            </w:r>
          </w:p>
        </w:tc>
      </w:tr>
      <w:tr w:rsidR="00EE4038" w:rsidRPr="00941D7C" w14:paraId="4128A4B6"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5C08300F" w14:textId="77777777" w:rsidR="00EE4038" w:rsidRPr="00941D7C" w:rsidRDefault="00EE4038">
            <w:pPr>
              <w:rPr>
                <w:color w:val="1E1E1F"/>
              </w:rPr>
            </w:pPr>
            <w:proofErr w:type="spellStart"/>
            <w:r w:rsidRPr="00941D7C">
              <w:rPr>
                <w:color w:val="1E1E1F"/>
                <w:shd w:val="clear" w:color="auto" w:fill="FFFFFF"/>
              </w:rPr>
              <w:t>EcoVadis</w:t>
            </w:r>
            <w:proofErr w:type="spellEnd"/>
          </w:p>
        </w:tc>
      </w:tr>
      <w:tr w:rsidR="00EE4038" w:rsidRPr="00941D7C" w14:paraId="74E55DF5"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4F43BE39" w14:textId="77777777" w:rsidR="00EE4038" w:rsidRPr="00941D7C" w:rsidRDefault="00EE4038">
            <w:pPr>
              <w:rPr>
                <w:color w:val="1E1E1F"/>
              </w:rPr>
            </w:pPr>
            <w:r w:rsidRPr="00941D7C">
              <w:rPr>
                <w:color w:val="1E1E1F"/>
                <w:shd w:val="clear" w:color="auto" w:fill="FFFFFF"/>
              </w:rPr>
              <w:t>Responsible Business Alliance</w:t>
            </w:r>
          </w:p>
        </w:tc>
      </w:tr>
      <w:tr w:rsidR="00EE4038" w:rsidRPr="00941D7C" w14:paraId="59DD1350"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1E526443" w14:textId="77777777" w:rsidR="00EE4038" w:rsidRPr="00941D7C" w:rsidRDefault="00EE4038">
            <w:pPr>
              <w:rPr>
                <w:color w:val="1E1E1F"/>
              </w:rPr>
            </w:pPr>
            <w:r w:rsidRPr="00941D7C">
              <w:rPr>
                <w:color w:val="1E1E1F"/>
                <w:shd w:val="clear" w:color="auto" w:fill="FFFFFF"/>
              </w:rPr>
              <w:t>FERMA</w:t>
            </w:r>
          </w:p>
        </w:tc>
      </w:tr>
      <w:tr w:rsidR="00EE4038" w:rsidRPr="00941D7C" w14:paraId="17FE1CCA"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113ACE04" w14:textId="77777777" w:rsidR="00EE4038" w:rsidRPr="00941D7C" w:rsidRDefault="00EE4038">
            <w:pPr>
              <w:rPr>
                <w:color w:val="1E1E1F"/>
              </w:rPr>
            </w:pPr>
            <w:r w:rsidRPr="00941D7C">
              <w:rPr>
                <w:color w:val="1E1E1F"/>
                <w:shd w:val="clear" w:color="auto" w:fill="FFFFFF"/>
              </w:rPr>
              <w:t>Teneo Brussels</w:t>
            </w:r>
          </w:p>
        </w:tc>
      </w:tr>
      <w:tr w:rsidR="00EE4038" w:rsidRPr="00941D7C" w14:paraId="2F2BC4B5"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0AA320BE" w14:textId="77777777" w:rsidR="00EE4038" w:rsidRPr="00941D7C" w:rsidRDefault="00EE4038">
            <w:pPr>
              <w:rPr>
                <w:color w:val="1E1E1F"/>
              </w:rPr>
            </w:pPr>
            <w:proofErr w:type="spellStart"/>
            <w:r w:rsidRPr="00941D7C">
              <w:rPr>
                <w:color w:val="1E1E1F"/>
                <w:shd w:val="clear" w:color="auto" w:fill="FFFFFF"/>
              </w:rPr>
              <w:t>Hagainitiativet</w:t>
            </w:r>
            <w:proofErr w:type="spellEnd"/>
          </w:p>
        </w:tc>
      </w:tr>
      <w:tr w:rsidR="00EE4038" w:rsidRPr="00941D7C" w14:paraId="7C1798BE"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3D26299F" w14:textId="77777777" w:rsidR="00EE4038" w:rsidRPr="00941D7C" w:rsidRDefault="00EE4038">
            <w:pPr>
              <w:shd w:val="clear" w:color="auto" w:fill="FFFFFF"/>
              <w:rPr>
                <w:color w:val="1E1E1F"/>
                <w:shd w:val="clear" w:color="auto" w:fill="FFFFFF"/>
              </w:rPr>
            </w:pPr>
            <w:r w:rsidRPr="00941D7C">
              <w:rPr>
                <w:color w:val="1E1E1F"/>
              </w:rPr>
              <w:t>EUROPEAN TRADE UNION CONFEDERATION</w:t>
            </w:r>
          </w:p>
        </w:tc>
      </w:tr>
      <w:tr w:rsidR="00EE4038" w:rsidRPr="00941D7C" w14:paraId="610644D2"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304BA504" w14:textId="77777777" w:rsidR="00EE4038" w:rsidRPr="00941D7C" w:rsidRDefault="00EE4038">
            <w:pPr>
              <w:rPr>
                <w:color w:val="1E1E1F"/>
                <w:shd w:val="clear" w:color="auto" w:fill="FFFFFF"/>
              </w:rPr>
            </w:pPr>
            <w:r w:rsidRPr="00941D7C">
              <w:rPr>
                <w:color w:val="1E1E1F"/>
                <w:shd w:val="clear" w:color="auto" w:fill="FFFFFF"/>
              </w:rPr>
              <w:t>European Coalition for Corporate Justice</w:t>
            </w:r>
          </w:p>
        </w:tc>
      </w:tr>
      <w:tr w:rsidR="00EE4038" w:rsidRPr="00941D7C" w14:paraId="1B53F0AF"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488B193C" w14:textId="77777777" w:rsidR="00EE4038" w:rsidRPr="00941D7C" w:rsidRDefault="00EE4038">
            <w:pPr>
              <w:rPr>
                <w:color w:val="1E1E1F"/>
                <w:shd w:val="clear" w:color="auto" w:fill="FFFFFF"/>
              </w:rPr>
            </w:pPr>
            <w:r w:rsidRPr="00941D7C">
              <w:rPr>
                <w:color w:val="1E1E1F"/>
                <w:shd w:val="clear" w:color="auto" w:fill="FFFFFF"/>
              </w:rPr>
              <w:t>Fair Trade Advocacy Office</w:t>
            </w:r>
          </w:p>
        </w:tc>
      </w:tr>
      <w:tr w:rsidR="00EE4038" w:rsidRPr="00941D7C" w14:paraId="3FE505F3"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7E4533E6" w14:textId="77777777" w:rsidR="00EE4038" w:rsidRPr="00941D7C" w:rsidRDefault="00EE4038">
            <w:pPr>
              <w:rPr>
                <w:color w:val="1E1E1F"/>
                <w:shd w:val="clear" w:color="auto" w:fill="FFFFFF"/>
              </w:rPr>
            </w:pPr>
            <w:proofErr w:type="spellStart"/>
            <w:r w:rsidRPr="00941D7C">
              <w:rPr>
                <w:color w:val="1E1E1F"/>
                <w:shd w:val="clear" w:color="auto" w:fill="FFFFFF"/>
              </w:rPr>
              <w:t>EuropeanIssuers</w:t>
            </w:r>
            <w:proofErr w:type="spellEnd"/>
          </w:p>
        </w:tc>
      </w:tr>
      <w:tr w:rsidR="00EE4038" w:rsidRPr="00941D7C" w14:paraId="47DE6291"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50221DCF" w14:textId="77777777" w:rsidR="00EE4038" w:rsidRPr="00941D7C" w:rsidRDefault="00EE4038">
            <w:pPr>
              <w:rPr>
                <w:color w:val="1E1E1F"/>
              </w:rPr>
            </w:pPr>
            <w:r w:rsidRPr="00941D7C">
              <w:rPr>
                <w:color w:val="1E1E1F"/>
                <w:shd w:val="clear" w:color="auto" w:fill="FFFFFF"/>
              </w:rPr>
              <w:t>European Banking Federation</w:t>
            </w:r>
          </w:p>
        </w:tc>
      </w:tr>
      <w:tr w:rsidR="00EE4038" w:rsidRPr="00941D7C" w14:paraId="55A56CB5"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397842BF" w14:textId="77777777" w:rsidR="00EE4038" w:rsidRPr="00941D7C" w:rsidRDefault="00EE4038">
            <w:pPr>
              <w:rPr>
                <w:color w:val="1E1E1F"/>
                <w:shd w:val="clear" w:color="auto" w:fill="FFFFFF"/>
              </w:rPr>
            </w:pPr>
            <w:r w:rsidRPr="00941D7C">
              <w:rPr>
                <w:color w:val="1E1E1F"/>
                <w:shd w:val="clear" w:color="auto" w:fill="FFFFFF"/>
              </w:rPr>
              <w:t>DIGITALEUROPE</w:t>
            </w:r>
          </w:p>
        </w:tc>
      </w:tr>
      <w:tr w:rsidR="00EE4038" w:rsidRPr="00941D7C" w14:paraId="5B25DAED"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464834FE" w14:textId="77777777" w:rsidR="00EE4038" w:rsidRPr="00941D7C" w:rsidRDefault="00EE4038">
            <w:pPr>
              <w:rPr>
                <w:color w:val="1E1E1F"/>
              </w:rPr>
            </w:pPr>
            <w:r w:rsidRPr="00941D7C">
              <w:rPr>
                <w:color w:val="1E1E1F"/>
                <w:shd w:val="clear" w:color="auto" w:fill="FFFFFF"/>
              </w:rPr>
              <w:t>SME United</w:t>
            </w:r>
          </w:p>
        </w:tc>
      </w:tr>
      <w:tr w:rsidR="00EE4038" w:rsidRPr="00941D7C" w14:paraId="515A85F2"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564C8A17" w14:textId="77777777" w:rsidR="00EE4038" w:rsidRPr="00941D7C" w:rsidRDefault="00EE4038">
            <w:pPr>
              <w:rPr>
                <w:color w:val="1E1E1F"/>
                <w:shd w:val="clear" w:color="auto" w:fill="FFFFFF"/>
              </w:rPr>
            </w:pPr>
            <w:r w:rsidRPr="00941D7C">
              <w:rPr>
                <w:color w:val="1E1E1F"/>
                <w:shd w:val="clear" w:color="auto" w:fill="FFFFFF"/>
              </w:rPr>
              <w:t>WWF</w:t>
            </w:r>
          </w:p>
        </w:tc>
      </w:tr>
      <w:tr w:rsidR="00EE4038" w:rsidRPr="00941D7C" w14:paraId="37AF1B79"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18D17CD8" w14:textId="77777777" w:rsidR="00EE4038" w:rsidRPr="00941D7C" w:rsidRDefault="00EE4038">
            <w:pPr>
              <w:rPr>
                <w:color w:val="1E1E1F"/>
                <w:shd w:val="clear" w:color="auto" w:fill="FFFFFF"/>
              </w:rPr>
            </w:pPr>
            <w:r w:rsidRPr="00941D7C">
              <w:rPr>
                <w:color w:val="1E1E1F"/>
                <w:shd w:val="clear" w:color="auto" w:fill="FFFFFF"/>
              </w:rPr>
              <w:t>Frank Bold Society</w:t>
            </w:r>
          </w:p>
        </w:tc>
      </w:tr>
      <w:tr w:rsidR="00EE4038" w:rsidRPr="00941D7C" w14:paraId="31E9137E"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53BDC2DA" w14:textId="77777777" w:rsidR="00EE4038" w:rsidRPr="00941D7C" w:rsidRDefault="00EE4038">
            <w:pPr>
              <w:rPr>
                <w:color w:val="1E1E1F"/>
                <w:shd w:val="clear" w:color="auto" w:fill="FFFFFF"/>
              </w:rPr>
            </w:pPr>
            <w:r w:rsidRPr="00941D7C">
              <w:rPr>
                <w:color w:val="1E1E1F"/>
                <w:shd w:val="clear" w:color="auto" w:fill="FFFFFF"/>
              </w:rPr>
              <w:t>Miele</w:t>
            </w:r>
          </w:p>
        </w:tc>
      </w:tr>
      <w:tr w:rsidR="00EE4038" w:rsidRPr="008C7353" w14:paraId="17DC5C18"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559D8AA2" w14:textId="77777777" w:rsidR="00EE4038" w:rsidRPr="008C7353" w:rsidRDefault="00EE4038">
            <w:pPr>
              <w:rPr>
                <w:color w:val="1E1E1F"/>
                <w:shd w:val="clear" w:color="auto" w:fill="FFFFFF"/>
                <w:lang w:val="fr-FR"/>
              </w:rPr>
            </w:pPr>
            <w:r w:rsidRPr="008C7353">
              <w:rPr>
                <w:color w:val="1E1E1F"/>
                <w:shd w:val="clear" w:color="auto" w:fill="FFFFFF"/>
                <w:lang w:val="fr-FR"/>
              </w:rPr>
              <w:t>COMPAGNIE NATIONALE DES COMMISSAIRES AUX COMPTES</w:t>
            </w:r>
          </w:p>
        </w:tc>
      </w:tr>
      <w:tr w:rsidR="00EE4038" w:rsidRPr="00941D7C" w14:paraId="6D4ECFC7"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7BC5C621" w14:textId="77777777" w:rsidR="00EE4038" w:rsidRPr="00941D7C" w:rsidRDefault="00EE4038">
            <w:pPr>
              <w:rPr>
                <w:color w:val="1E1E1F"/>
                <w:shd w:val="clear" w:color="auto" w:fill="FFFFFF"/>
              </w:rPr>
            </w:pPr>
            <w:r w:rsidRPr="00941D7C">
              <w:rPr>
                <w:color w:val="1E1E1F"/>
                <w:shd w:val="clear" w:color="auto" w:fill="FFFFFF"/>
              </w:rPr>
              <w:t>FBF</w:t>
            </w:r>
          </w:p>
        </w:tc>
      </w:tr>
      <w:tr w:rsidR="00EE4038" w:rsidRPr="00941D7C" w14:paraId="47992A5E"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038605CD" w14:textId="77777777" w:rsidR="00EE4038" w:rsidRPr="00941D7C" w:rsidRDefault="00EE4038">
            <w:pPr>
              <w:rPr>
                <w:color w:val="1E1E1F"/>
                <w:shd w:val="clear" w:color="auto" w:fill="FFFFFF"/>
              </w:rPr>
            </w:pPr>
            <w:r w:rsidRPr="00941D7C">
              <w:rPr>
                <w:color w:val="1E1E1F"/>
                <w:shd w:val="clear" w:color="auto" w:fill="FFFFFF"/>
              </w:rPr>
              <w:t>Foundation for Family Businesses and Politics</w:t>
            </w:r>
          </w:p>
        </w:tc>
      </w:tr>
      <w:tr w:rsidR="00EE4038" w:rsidRPr="00941D7C" w14:paraId="133B39C9"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59FB2805" w14:textId="77777777" w:rsidR="00EE4038" w:rsidRPr="00941D7C" w:rsidRDefault="00EE4038">
            <w:pPr>
              <w:rPr>
                <w:color w:val="1E1E1F"/>
                <w:shd w:val="clear" w:color="auto" w:fill="FFFFFF"/>
              </w:rPr>
            </w:pPr>
            <w:proofErr w:type="spellStart"/>
            <w:r w:rsidRPr="00941D7C">
              <w:rPr>
                <w:color w:val="1E1E1F"/>
                <w:shd w:val="clear" w:color="auto" w:fill="FFFFFF"/>
              </w:rPr>
              <w:t>Mouvement</w:t>
            </w:r>
            <w:proofErr w:type="spellEnd"/>
            <w:r w:rsidRPr="00941D7C">
              <w:rPr>
                <w:color w:val="1E1E1F"/>
                <w:shd w:val="clear" w:color="auto" w:fill="FFFFFF"/>
              </w:rPr>
              <w:t xml:space="preserve"> Impact France</w:t>
            </w:r>
          </w:p>
        </w:tc>
      </w:tr>
      <w:tr w:rsidR="00EE4038" w:rsidRPr="00941D7C" w14:paraId="30043293"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6224920F" w14:textId="77777777" w:rsidR="00EE4038" w:rsidRPr="00941D7C" w:rsidRDefault="00EE4038">
            <w:pPr>
              <w:rPr>
                <w:color w:val="1E1E1F"/>
                <w:shd w:val="clear" w:color="auto" w:fill="FFFFFF"/>
              </w:rPr>
            </w:pPr>
            <w:r w:rsidRPr="00941D7C">
              <w:rPr>
                <w:color w:val="1E1E1F"/>
                <w:shd w:val="clear" w:color="auto" w:fill="FFFFFF"/>
              </w:rPr>
              <w:t>EUROCHAMBRES – Association of European Chambers of Commerce and Industry</w:t>
            </w:r>
          </w:p>
        </w:tc>
      </w:tr>
      <w:tr w:rsidR="00EE4038" w:rsidRPr="00941D7C" w14:paraId="3D7445AC"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2C15052C" w14:textId="77777777" w:rsidR="00EE4038" w:rsidRPr="00941D7C" w:rsidRDefault="00EE4038">
            <w:pPr>
              <w:shd w:val="clear" w:color="auto" w:fill="FFFFFF"/>
              <w:rPr>
                <w:color w:val="1E1E1F"/>
                <w:shd w:val="clear" w:color="auto" w:fill="FFFFFF"/>
              </w:rPr>
            </w:pPr>
            <w:r w:rsidRPr="00941D7C">
              <w:rPr>
                <w:color w:val="1E1E1F"/>
              </w:rPr>
              <w:t>Finance Sweden</w:t>
            </w:r>
          </w:p>
        </w:tc>
      </w:tr>
      <w:tr w:rsidR="00EE4038" w:rsidRPr="00941D7C" w14:paraId="44538363"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30A1A569" w14:textId="77777777" w:rsidR="00EE4038" w:rsidRPr="00941D7C" w:rsidRDefault="00EE4038">
            <w:pPr>
              <w:shd w:val="clear" w:color="auto" w:fill="FFFFFF"/>
              <w:rPr>
                <w:color w:val="1E1E1F"/>
                <w:shd w:val="clear" w:color="auto" w:fill="FFFFFF"/>
              </w:rPr>
            </w:pPr>
            <w:r w:rsidRPr="00941D7C">
              <w:rPr>
                <w:color w:val="1E1E1F"/>
              </w:rPr>
              <w:t>OECD</w:t>
            </w:r>
          </w:p>
        </w:tc>
      </w:tr>
      <w:tr w:rsidR="00EE4038" w:rsidRPr="00941D7C" w14:paraId="1AE1B9FC"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52E4496D" w14:textId="77777777" w:rsidR="00EE4038" w:rsidRPr="00941D7C" w:rsidRDefault="00EE4038">
            <w:pPr>
              <w:shd w:val="clear" w:color="auto" w:fill="FFFFFF"/>
              <w:rPr>
                <w:color w:val="1E1E1F"/>
                <w:shd w:val="clear" w:color="auto" w:fill="FFFFFF"/>
              </w:rPr>
            </w:pPr>
            <w:r w:rsidRPr="00941D7C">
              <w:rPr>
                <w:color w:val="1E1E1F"/>
              </w:rPr>
              <w:t>ExxonMobil</w:t>
            </w:r>
          </w:p>
        </w:tc>
      </w:tr>
      <w:tr w:rsidR="00EE4038" w:rsidRPr="00941D7C" w14:paraId="432C84B8" w14:textId="77777777" w:rsidTr="00EE4038">
        <w:trPr>
          <w:trHeight w:val="278"/>
        </w:trPr>
        <w:tc>
          <w:tcPr>
            <w:tcW w:w="9111" w:type="dxa"/>
            <w:tcBorders>
              <w:top w:val="single" w:sz="4" w:space="0" w:color="000000"/>
              <w:left w:val="single" w:sz="4" w:space="0" w:color="000000"/>
              <w:bottom w:val="single" w:sz="4" w:space="0" w:color="000000"/>
              <w:right w:val="single" w:sz="4" w:space="0" w:color="000000"/>
            </w:tcBorders>
            <w:hideMark/>
          </w:tcPr>
          <w:p w14:paraId="60A8B4CA" w14:textId="77777777" w:rsidR="00EE4038" w:rsidRPr="00941D7C" w:rsidRDefault="00EE4038">
            <w:pPr>
              <w:shd w:val="clear" w:color="auto" w:fill="FFFFFF"/>
              <w:rPr>
                <w:color w:val="1E1E1F"/>
              </w:rPr>
            </w:pPr>
            <w:r w:rsidRPr="00941D7C">
              <w:rPr>
                <w:color w:val="1E1E1F"/>
              </w:rPr>
              <w:t>The Walt Disney Company Benelux BVBA</w:t>
            </w:r>
          </w:p>
        </w:tc>
      </w:tr>
    </w:tbl>
    <w:p w14:paraId="1DEC70CB" w14:textId="77777777" w:rsidR="00EE4038" w:rsidRPr="00941D7C" w:rsidRDefault="00EE4038" w:rsidP="00EE4038">
      <w:pPr>
        <w:spacing w:line="200" w:lineRule="exact"/>
        <w:rPr>
          <w:rFonts w:eastAsia="Calibri"/>
          <w:sz w:val="22"/>
          <w:szCs w:val="22"/>
          <w:lang w:eastAsia="en-US"/>
        </w:rPr>
      </w:pPr>
    </w:p>
    <w:p w14:paraId="12AFEF72" w14:textId="77777777" w:rsidR="00EE4038" w:rsidRPr="00941D7C" w:rsidRDefault="00EE4038" w:rsidP="00EE4038">
      <w:pPr>
        <w:spacing w:before="9" w:line="360" w:lineRule="auto"/>
      </w:pPr>
      <w:r w:rsidRPr="00941D7C">
        <w:rPr>
          <w:sz w:val="22"/>
          <w:szCs w:val="22"/>
        </w:rPr>
        <w:t>The list above is drawn up under the exclusive responsibility of the rapporteur.</w:t>
      </w:r>
    </w:p>
    <w:sectPr w:rsidR="00EE4038" w:rsidRPr="00941D7C" w:rsidSect="00EE4038">
      <w:headerReference w:type="even" r:id="rId13"/>
      <w:headerReference w:type="default" r:id="rId14"/>
      <w:headerReference w:type="first" r:id="rId15"/>
      <w:footerReference w:type="first" r:id="rId16"/>
      <w:footnotePr>
        <w:numRestart w:val="eachSect"/>
      </w:footnotePr>
      <w:endnotePr>
        <w:numFmt w:val="decimal"/>
      </w:endnotePr>
      <w:pgSz w:w="11906" w:h="16838" w:code="9"/>
      <w:pgMar w:top="1134" w:right="1418" w:bottom="1418" w:left="1418" w:header="1134"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D8A1A" w14:textId="77777777" w:rsidR="00964AA9" w:rsidRPr="00AD3A5A" w:rsidRDefault="00964AA9">
      <w:r w:rsidRPr="00AD3A5A">
        <w:separator/>
      </w:r>
    </w:p>
  </w:endnote>
  <w:endnote w:type="continuationSeparator" w:id="0">
    <w:p w14:paraId="5E5FBC67" w14:textId="77777777" w:rsidR="00964AA9" w:rsidRPr="00AD3A5A" w:rsidRDefault="00964AA9">
      <w:r w:rsidRPr="00AD3A5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DokChampa">
    <w:altName w:val="Leelawadee UI"/>
    <w:charset w:val="DE"/>
    <w:family w:val="swiss"/>
    <w:pitch w:val="variable"/>
    <w:sig w:usb0="83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DA10" w14:textId="07C5E93F" w:rsidR="00F165B7" w:rsidRPr="002B12BF" w:rsidRDefault="00F165B7" w:rsidP="00F165B7">
    <w:pPr>
      <w:pStyle w:val="EPFooter"/>
      <w:rPr>
        <w:lang w:val="de-DE"/>
      </w:rPr>
    </w:pPr>
    <w:r w:rsidRPr="002B12BF">
      <w:rPr>
        <w:lang w:val="de-DE"/>
      </w:rPr>
      <w:t>PE</w:t>
    </w:r>
    <w:r w:rsidRPr="002B12BF">
      <w:rPr>
        <w:rStyle w:val="HideTWBExt"/>
        <w:lang w:val="de-DE"/>
      </w:rPr>
      <w:t>&lt;NoPE&gt;</w:t>
    </w:r>
    <w:r w:rsidRPr="002B12BF">
      <w:rPr>
        <w:lang w:val="de-DE"/>
      </w:rPr>
      <w:t>774.282</w:t>
    </w:r>
    <w:r w:rsidRPr="002B12BF">
      <w:rPr>
        <w:rStyle w:val="HideTWBExt"/>
        <w:lang w:val="de-DE"/>
      </w:rPr>
      <w:t>&lt;/NoPE&gt;&lt;Version&gt;</w:t>
    </w:r>
    <w:r w:rsidRPr="002B12BF">
      <w:rPr>
        <w:lang w:val="de-DE"/>
      </w:rPr>
      <w:t>v01-00</w:t>
    </w:r>
    <w:r w:rsidRPr="002B12BF">
      <w:rPr>
        <w:rStyle w:val="HideTWBExt"/>
        <w:lang w:val="de-DE"/>
      </w:rPr>
      <w:t>&lt;/Version&gt;</w:t>
    </w:r>
    <w:r w:rsidRPr="002B12BF">
      <w:rPr>
        <w:lang w:val="de-DE"/>
      </w:rPr>
      <w:tab/>
    </w:r>
    <w:r w:rsidRPr="00AD3A5A">
      <w:fldChar w:fldCharType="begin"/>
    </w:r>
    <w:r w:rsidRPr="002B12BF">
      <w:rPr>
        <w:lang w:val="de-DE"/>
      </w:rPr>
      <w:instrText xml:space="preserve"> PAGE  \* MERGEFORMAT </w:instrText>
    </w:r>
    <w:r w:rsidRPr="00AD3A5A">
      <w:fldChar w:fldCharType="separate"/>
    </w:r>
    <w:r w:rsidR="00941D7C" w:rsidRPr="002B12BF">
      <w:rPr>
        <w:noProof/>
        <w:lang w:val="de-DE"/>
      </w:rPr>
      <w:t>28</w:t>
    </w:r>
    <w:r w:rsidRPr="00AD3A5A">
      <w:fldChar w:fldCharType="end"/>
    </w:r>
    <w:r w:rsidRPr="002B12BF">
      <w:rPr>
        <w:lang w:val="de-DE"/>
      </w:rPr>
      <w:t>/</w:t>
    </w:r>
    <w:r w:rsidR="00964AA9">
      <w:fldChar w:fldCharType="begin"/>
    </w:r>
    <w:r w:rsidR="00964AA9" w:rsidRPr="002B12BF">
      <w:rPr>
        <w:lang w:val="de-DE"/>
      </w:rPr>
      <w:instrText xml:space="preserve"> NUMPAGES  \* MERGEFORMAT </w:instrText>
    </w:r>
    <w:r w:rsidR="00964AA9">
      <w:fldChar w:fldCharType="separate"/>
    </w:r>
    <w:r w:rsidR="00941D7C" w:rsidRPr="002B12BF">
      <w:rPr>
        <w:noProof/>
        <w:lang w:val="de-DE"/>
      </w:rPr>
      <w:t>61</w:t>
    </w:r>
    <w:r w:rsidR="00964AA9">
      <w:rPr>
        <w:noProof/>
      </w:rPr>
      <w:fldChar w:fldCharType="end"/>
    </w:r>
    <w:r w:rsidRPr="002B12BF">
      <w:rPr>
        <w:lang w:val="de-DE"/>
      </w:rPr>
      <w:tab/>
    </w:r>
    <w:r w:rsidRPr="002B12BF">
      <w:rPr>
        <w:rStyle w:val="HideTWBExt"/>
        <w:lang w:val="de-DE"/>
      </w:rPr>
      <w:t>&lt;PathFdR&gt;</w:t>
    </w:r>
    <w:r w:rsidRPr="002B12BF">
      <w:rPr>
        <w:lang w:val="de-DE"/>
      </w:rPr>
      <w:t>PR\1323000EN.docx</w:t>
    </w:r>
    <w:r w:rsidRPr="002B12BF">
      <w:rPr>
        <w:rStyle w:val="HideTWBExt"/>
        <w:lang w:val="de-DE"/>
      </w:rPr>
      <w:t>&lt;/PathFdR&gt;</w:t>
    </w:r>
  </w:p>
  <w:p w14:paraId="2A5239BC" w14:textId="7620C172" w:rsidR="00C33FF2" w:rsidRPr="002B12BF" w:rsidRDefault="00F165B7" w:rsidP="00F165B7">
    <w:pPr>
      <w:pStyle w:val="EPFooter2"/>
      <w:rPr>
        <w:lang w:val="de-DE"/>
      </w:rPr>
    </w:pPr>
    <w:r w:rsidRPr="002B12BF">
      <w:rPr>
        <w:lang w:val="de-DE"/>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55D0" w14:textId="390A8DAA" w:rsidR="00F165B7" w:rsidRPr="00AD3A5A" w:rsidRDefault="00F165B7" w:rsidP="00F165B7">
    <w:pPr>
      <w:pStyle w:val="EPFooter"/>
    </w:pPr>
    <w:r w:rsidRPr="00AD3A5A">
      <w:rPr>
        <w:rStyle w:val="HideTWBExt"/>
      </w:rPr>
      <w:t>&lt;PathFdR&gt;</w:t>
    </w:r>
    <w:r w:rsidRPr="00AD3A5A">
      <w:t>PR\1323000EN.docx</w:t>
    </w:r>
    <w:r w:rsidRPr="00AD3A5A">
      <w:rPr>
        <w:rStyle w:val="HideTWBExt"/>
      </w:rPr>
      <w:t>&lt;/PathFdR&gt;</w:t>
    </w:r>
    <w:r w:rsidRPr="00AD3A5A">
      <w:tab/>
    </w:r>
    <w:r w:rsidRPr="00AD3A5A">
      <w:fldChar w:fldCharType="begin"/>
    </w:r>
    <w:r w:rsidRPr="00AD3A5A">
      <w:instrText xml:space="preserve"> PAGE  \* MERGEFORMAT </w:instrText>
    </w:r>
    <w:r w:rsidRPr="00AD3A5A">
      <w:fldChar w:fldCharType="separate"/>
    </w:r>
    <w:r w:rsidR="00941D7C">
      <w:rPr>
        <w:noProof/>
      </w:rPr>
      <w:t>29</w:t>
    </w:r>
    <w:r w:rsidRPr="00AD3A5A">
      <w:fldChar w:fldCharType="end"/>
    </w:r>
    <w:r w:rsidRPr="00AD3A5A">
      <w:t>/</w:t>
    </w:r>
    <w:r w:rsidR="00964AA9">
      <w:fldChar w:fldCharType="begin"/>
    </w:r>
    <w:r w:rsidR="00964AA9">
      <w:instrText xml:space="preserve"> NUMPAGES  \* MERGEFORMAT </w:instrText>
    </w:r>
    <w:r w:rsidR="00964AA9">
      <w:fldChar w:fldCharType="separate"/>
    </w:r>
    <w:r w:rsidR="00941D7C">
      <w:rPr>
        <w:noProof/>
      </w:rPr>
      <w:t>61</w:t>
    </w:r>
    <w:r w:rsidR="00964AA9">
      <w:rPr>
        <w:noProof/>
      </w:rPr>
      <w:fldChar w:fldCharType="end"/>
    </w:r>
    <w:r w:rsidRPr="00AD3A5A">
      <w:tab/>
      <w:t>PE</w:t>
    </w:r>
    <w:r w:rsidRPr="00AD3A5A">
      <w:rPr>
        <w:rStyle w:val="HideTWBExt"/>
      </w:rPr>
      <w:t>&lt;NoPE&gt;</w:t>
    </w:r>
    <w:r w:rsidRPr="00AD3A5A">
      <w:t>774.282</w:t>
    </w:r>
    <w:r w:rsidRPr="00AD3A5A">
      <w:rPr>
        <w:rStyle w:val="HideTWBExt"/>
      </w:rPr>
      <w:t>&lt;/NoPE&gt;&lt;Version&gt;</w:t>
    </w:r>
    <w:r w:rsidRPr="00AD3A5A">
      <w:t>v01-00</w:t>
    </w:r>
    <w:r w:rsidRPr="00AD3A5A">
      <w:rPr>
        <w:rStyle w:val="HideTWBExt"/>
      </w:rPr>
      <w:t>&lt;/Version&gt;</w:t>
    </w:r>
  </w:p>
  <w:p w14:paraId="123407F8" w14:textId="6C6D8B35" w:rsidR="00C33FF2" w:rsidRPr="00AD3A5A" w:rsidRDefault="00F165B7" w:rsidP="00F165B7">
    <w:pPr>
      <w:pStyle w:val="EPFooter2"/>
    </w:pPr>
    <w:r w:rsidRPr="00AD3A5A">
      <w:tab/>
    </w:r>
    <w:r w:rsidRPr="00AD3A5A">
      <w:tab/>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2E7B" w14:textId="77777777" w:rsidR="00F165B7" w:rsidRPr="00AD3A5A" w:rsidRDefault="00F165B7" w:rsidP="00F165B7">
    <w:pPr>
      <w:pStyle w:val="EPFooter"/>
    </w:pPr>
    <w:r w:rsidRPr="00AD3A5A">
      <w:rPr>
        <w:rStyle w:val="HideTWBExt"/>
      </w:rPr>
      <w:t>&lt;PathFdR&gt;</w:t>
    </w:r>
    <w:r w:rsidRPr="00AD3A5A">
      <w:t>PR\1323000EN.docx</w:t>
    </w:r>
    <w:r w:rsidRPr="00AD3A5A">
      <w:rPr>
        <w:rStyle w:val="HideTWBExt"/>
      </w:rPr>
      <w:t>&lt;/PathFdR&gt;</w:t>
    </w:r>
    <w:r w:rsidRPr="00AD3A5A">
      <w:tab/>
    </w:r>
    <w:r w:rsidRPr="00AD3A5A">
      <w:tab/>
      <w:t>PE</w:t>
    </w:r>
    <w:r w:rsidRPr="00AD3A5A">
      <w:rPr>
        <w:rStyle w:val="HideTWBExt"/>
      </w:rPr>
      <w:t>&lt;NoPE&gt;</w:t>
    </w:r>
    <w:r w:rsidRPr="00AD3A5A">
      <w:t>774.282</w:t>
    </w:r>
    <w:r w:rsidRPr="00AD3A5A">
      <w:rPr>
        <w:rStyle w:val="HideTWBExt"/>
      </w:rPr>
      <w:t>&lt;/NoPE&gt;&lt;Version&gt;</w:t>
    </w:r>
    <w:r w:rsidRPr="00AD3A5A">
      <w:t>v01-00</w:t>
    </w:r>
    <w:r w:rsidRPr="00AD3A5A">
      <w:rPr>
        <w:rStyle w:val="HideTWBExt"/>
      </w:rPr>
      <w:t>&lt;/Version&gt;</w:t>
    </w:r>
  </w:p>
  <w:p w14:paraId="3B1BACD7" w14:textId="3E8466AB" w:rsidR="00C33FF2" w:rsidRPr="00AD3A5A" w:rsidRDefault="00F165B7" w:rsidP="00F165B7">
    <w:pPr>
      <w:pStyle w:val="EPFooter2"/>
    </w:pPr>
    <w:r w:rsidRPr="00AD3A5A">
      <w:t>EN</w:t>
    </w:r>
    <w:r w:rsidRPr="00AD3A5A">
      <w:tab/>
    </w:r>
    <w:r w:rsidRPr="00AD3A5A">
      <w:rPr>
        <w:b w:val="0"/>
        <w:i/>
        <w:color w:val="C0C0C0"/>
        <w:sz w:val="22"/>
      </w:rPr>
      <w:t>United in diversity</w:t>
    </w:r>
    <w:r w:rsidRPr="00AD3A5A">
      <w:tab/>
      <w:t>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8706" w14:textId="3E2EEBFA" w:rsidR="00C33FF2" w:rsidRPr="00AD3A5A" w:rsidRDefault="00C33FF2" w:rsidP="00B35707">
    <w:pPr>
      <w:pStyle w:val="EPFooter"/>
    </w:pPr>
    <w:r w:rsidRPr="00AD3A5A">
      <w:rPr>
        <w:rStyle w:val="HideTWBExt"/>
      </w:rPr>
      <w:t>&lt;PathFdR&gt;</w:t>
    </w:r>
    <w:r w:rsidR="00AD3A5A" w:rsidRPr="00AD3A5A">
      <w:t>PR\1323000EN.docx</w:t>
    </w:r>
    <w:r w:rsidRPr="00AD3A5A">
      <w:rPr>
        <w:rStyle w:val="HideTWBExt"/>
      </w:rPr>
      <w:t>&lt;/PathFdR&gt;</w:t>
    </w:r>
    <w:r w:rsidRPr="00AD3A5A">
      <w:tab/>
    </w:r>
    <w:r w:rsidRPr="00AD3A5A">
      <w:tab/>
      <w:t>PE</w:t>
    </w:r>
    <w:r w:rsidRPr="00AD3A5A">
      <w:rPr>
        <w:rStyle w:val="HideTWBExt"/>
      </w:rPr>
      <w:t>&lt;NoPE&gt;</w:t>
    </w:r>
    <w:r w:rsidRPr="00AD3A5A">
      <w:t>774.282</w:t>
    </w:r>
    <w:r w:rsidRPr="00AD3A5A">
      <w:rPr>
        <w:rStyle w:val="HideTWBExt"/>
      </w:rPr>
      <w:t>&lt;/NoPE&gt;&lt;Version&gt;</w:t>
    </w:r>
    <w:r w:rsidRPr="00AD3A5A">
      <w:t>v01-00</w:t>
    </w:r>
    <w:r w:rsidRPr="00AD3A5A">
      <w:rPr>
        <w:rStyle w:val="HideTWBExt"/>
      </w:rPr>
      <w:t>&lt;/Version&gt;</w:t>
    </w:r>
  </w:p>
  <w:p w14:paraId="0F62EB17" w14:textId="77777777" w:rsidR="00C33FF2" w:rsidRPr="00AD3A5A" w:rsidRDefault="00C33FF2" w:rsidP="00B35707">
    <w:pPr>
      <w:pStyle w:val="EPFooter2"/>
    </w:pPr>
    <w:r w:rsidRPr="00AD3A5A">
      <w:t>EN</w:t>
    </w:r>
    <w:r w:rsidRPr="00AD3A5A">
      <w:tab/>
    </w:r>
    <w:r w:rsidRPr="00AD3A5A">
      <w:rPr>
        <w:b w:val="0"/>
        <w:i/>
        <w:color w:val="C0C0C0"/>
        <w:sz w:val="22"/>
      </w:rPr>
      <w:t>United in diversity</w:t>
    </w:r>
    <w:r w:rsidRPr="00AD3A5A">
      <w:tab/>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E6B6" w14:textId="77777777" w:rsidR="00964AA9" w:rsidRPr="00AD3A5A" w:rsidRDefault="00964AA9">
      <w:r w:rsidRPr="00AD3A5A">
        <w:separator/>
      </w:r>
    </w:p>
  </w:footnote>
  <w:footnote w:type="continuationSeparator" w:id="0">
    <w:p w14:paraId="4F77743E" w14:textId="77777777" w:rsidR="00964AA9" w:rsidRPr="00AD3A5A" w:rsidRDefault="00964AA9">
      <w:r w:rsidRPr="00AD3A5A">
        <w:continuationSeparator/>
      </w:r>
    </w:p>
  </w:footnote>
  <w:footnote w:id="1">
    <w:p w14:paraId="2E13C288" w14:textId="6D0C001A" w:rsidR="00C33FF2" w:rsidRPr="00AD3A5A" w:rsidRDefault="00C33FF2">
      <w:pPr>
        <w:pStyle w:val="Funotentext"/>
        <w:rPr>
          <w:sz w:val="24"/>
          <w:szCs w:val="24"/>
        </w:rPr>
      </w:pPr>
      <w:r w:rsidRPr="00AD3A5A">
        <w:rPr>
          <w:rStyle w:val="Funotenzeichen"/>
          <w:sz w:val="24"/>
          <w:szCs w:val="24"/>
        </w:rPr>
        <w:footnoteRef/>
      </w:r>
      <w:r w:rsidRPr="00AD3A5A">
        <w:rPr>
          <w:sz w:val="24"/>
          <w:szCs w:val="24"/>
        </w:rPr>
        <w:tab/>
        <w:t xml:space="preserve">[OJ C, C/.../..., ..., ELI: </w:t>
      </w:r>
      <w:hyperlink r:id="rId1" w:history="1">
        <w:r w:rsidRPr="00AD3A5A">
          <w:rPr>
            <w:rStyle w:val="Hyperlink"/>
            <w:sz w:val="24"/>
            <w:szCs w:val="24"/>
          </w:rPr>
          <w:t>http://data.europa.eu/eli/C/.../.../oj</w:t>
        </w:r>
      </w:hyperlink>
      <w:r w:rsidRPr="00AD3A5A">
        <w:rPr>
          <w:sz w:val="24"/>
          <w:szCs w:val="24"/>
        </w:rPr>
        <w:t xml:space="preserve"> / Not yet published in the Official Journal].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EE32" w14:textId="77777777" w:rsidR="00C33FF2" w:rsidRDefault="00C33F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01F0" w14:textId="77777777" w:rsidR="00C33FF2" w:rsidRDefault="00C33FF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DEC4" w14:textId="77777777" w:rsidR="00C33FF2" w:rsidRDefault="00C33F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D85F0A"/>
    <w:multiLevelType w:val="hybridMultilevel"/>
    <w:tmpl w:val="56FEBAFC"/>
    <w:lvl w:ilvl="0" w:tplc="D37CECD6">
      <w:start w:val="1"/>
      <w:numFmt w:val="lowerRoman"/>
      <w:lvlText w:val="(%1)"/>
      <w:lvlJc w:val="left"/>
      <w:pPr>
        <w:ind w:left="1080" w:hanging="72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276993"/>
    <w:multiLevelType w:val="hybridMultilevel"/>
    <w:tmpl w:val="0332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3635B3"/>
    <w:multiLevelType w:val="hybridMultilevel"/>
    <w:tmpl w:val="0458FB8E"/>
    <w:lvl w:ilvl="0" w:tplc="4C48D8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1005601">
    <w:abstractNumId w:val="9"/>
  </w:num>
  <w:num w:numId="2" w16cid:durableId="1526671328">
    <w:abstractNumId w:val="9"/>
  </w:num>
  <w:num w:numId="3" w16cid:durableId="1185555183">
    <w:abstractNumId w:val="7"/>
  </w:num>
  <w:num w:numId="4" w16cid:durableId="1536117618">
    <w:abstractNumId w:val="7"/>
  </w:num>
  <w:num w:numId="5" w16cid:durableId="1467501953">
    <w:abstractNumId w:val="6"/>
  </w:num>
  <w:num w:numId="6" w16cid:durableId="1204445500">
    <w:abstractNumId w:val="6"/>
  </w:num>
  <w:num w:numId="7" w16cid:durableId="1818259735">
    <w:abstractNumId w:val="5"/>
  </w:num>
  <w:num w:numId="8" w16cid:durableId="1499006457">
    <w:abstractNumId w:val="5"/>
  </w:num>
  <w:num w:numId="9" w16cid:durableId="141386130">
    <w:abstractNumId w:val="4"/>
  </w:num>
  <w:num w:numId="10" w16cid:durableId="1378122953">
    <w:abstractNumId w:val="4"/>
  </w:num>
  <w:num w:numId="11" w16cid:durableId="1573926749">
    <w:abstractNumId w:val="8"/>
  </w:num>
  <w:num w:numId="12" w16cid:durableId="1607886284">
    <w:abstractNumId w:val="8"/>
  </w:num>
  <w:num w:numId="13" w16cid:durableId="1031344325">
    <w:abstractNumId w:val="3"/>
  </w:num>
  <w:num w:numId="14" w16cid:durableId="216090538">
    <w:abstractNumId w:val="3"/>
  </w:num>
  <w:num w:numId="15" w16cid:durableId="432437260">
    <w:abstractNumId w:val="2"/>
  </w:num>
  <w:num w:numId="16" w16cid:durableId="1425762828">
    <w:abstractNumId w:val="2"/>
  </w:num>
  <w:num w:numId="17" w16cid:durableId="306787792">
    <w:abstractNumId w:val="1"/>
  </w:num>
  <w:num w:numId="18" w16cid:durableId="1064832588">
    <w:abstractNumId w:val="1"/>
  </w:num>
  <w:num w:numId="19" w16cid:durableId="1995797641">
    <w:abstractNumId w:val="0"/>
  </w:num>
  <w:num w:numId="20" w16cid:durableId="1941722020">
    <w:abstractNumId w:val="0"/>
  </w:num>
  <w:num w:numId="21" w16cid:durableId="689986534">
    <w:abstractNumId w:val="9"/>
  </w:num>
  <w:num w:numId="22" w16cid:durableId="2031445021">
    <w:abstractNumId w:val="7"/>
  </w:num>
  <w:num w:numId="23" w16cid:durableId="943196198">
    <w:abstractNumId w:val="6"/>
  </w:num>
  <w:num w:numId="24" w16cid:durableId="1467426422">
    <w:abstractNumId w:val="5"/>
  </w:num>
  <w:num w:numId="25" w16cid:durableId="822044905">
    <w:abstractNumId w:val="4"/>
  </w:num>
  <w:num w:numId="26" w16cid:durableId="1020207158">
    <w:abstractNumId w:val="8"/>
  </w:num>
  <w:num w:numId="27" w16cid:durableId="1346206103">
    <w:abstractNumId w:val="3"/>
  </w:num>
  <w:num w:numId="28" w16cid:durableId="1737779753">
    <w:abstractNumId w:val="2"/>
  </w:num>
  <w:num w:numId="29" w16cid:durableId="667758662">
    <w:abstractNumId w:val="1"/>
  </w:num>
  <w:num w:numId="30" w16cid:durableId="638002151">
    <w:abstractNumId w:val="0"/>
  </w:num>
  <w:num w:numId="31" w16cid:durableId="1767075696">
    <w:abstractNumId w:val="9"/>
  </w:num>
  <w:num w:numId="32" w16cid:durableId="561402101">
    <w:abstractNumId w:val="7"/>
  </w:num>
  <w:num w:numId="33" w16cid:durableId="1908026583">
    <w:abstractNumId w:val="6"/>
  </w:num>
  <w:num w:numId="34" w16cid:durableId="1017385941">
    <w:abstractNumId w:val="5"/>
  </w:num>
  <w:num w:numId="35" w16cid:durableId="1486051426">
    <w:abstractNumId w:val="4"/>
  </w:num>
  <w:num w:numId="36" w16cid:durableId="321129979">
    <w:abstractNumId w:val="8"/>
  </w:num>
  <w:num w:numId="37" w16cid:durableId="1406104356">
    <w:abstractNumId w:val="3"/>
  </w:num>
  <w:num w:numId="38" w16cid:durableId="2009477273">
    <w:abstractNumId w:val="2"/>
  </w:num>
  <w:num w:numId="39" w16cid:durableId="122038851">
    <w:abstractNumId w:val="1"/>
  </w:num>
  <w:num w:numId="40" w16cid:durableId="1587223862">
    <w:abstractNumId w:val="0"/>
  </w:num>
  <w:num w:numId="41" w16cid:durableId="1997687554">
    <w:abstractNumId w:val="10"/>
  </w:num>
  <w:num w:numId="42" w16cid:durableId="1307977093">
    <w:abstractNumId w:val="12"/>
  </w:num>
  <w:num w:numId="43" w16cid:durableId="15566941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mirrorMargin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pt-PT" w:vendorID="64" w:dllVersion="6"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ACT2MNU" w:val=" 2"/>
    <w:docVar w:name="AMACTMNU" w:val=" 1"/>
    <w:docVar w:name="AUTHORMFPMNU" w:val=" 1"/>
    <w:docVar w:name="CJMNU" w:val="1"/>
    <w:docVar w:name="COMKEY" w:val="JURI"/>
    <w:docVar w:name="CopyToNetwork" w:val="-1"/>
    <w:docVar w:name="CVar" w:val="2"/>
    <w:docVar w:name="DOCDT" w:val="26/05/2025"/>
    <w:docVar w:name="DOCMNU" w:val=" 2"/>
    <w:docVar w:name="EPOJMNU" w:val=" 3"/>
    <w:docVar w:name="EPSTATMNU" w:val=" 1"/>
    <w:docVar w:name="EPSTATPLURMNU" w:val=" 1"/>
    <w:docVar w:name="EVABUDGMNU" w:val=" 2"/>
    <w:docVar w:name="iNoAmend" w:val="2"/>
    <w:docVar w:name="INSTITUTIONSMNU" w:val=" 2"/>
    <w:docVar w:name="JURI1MNU" w:val=" 1"/>
    <w:docVar w:name="JURI2MNU" w:val=" 1"/>
    <w:docVar w:name="LastEditedSection" w:val=" 1"/>
    <w:docVar w:name="ORLANGKEY" w:val="EN"/>
    <w:docVar w:name="ORLANGMNU" w:val=" 1"/>
    <w:docVar w:name="OTHERSTATMNU" w:val=" 4"/>
    <w:docVar w:name="PARLIAMENTSMNU" w:val=" 1"/>
    <w:docVar w:name="PARLMNU" w:val=" 1"/>
    <w:docVar w:name="RECONSULTMNU" w:val=" 1"/>
    <w:docVar w:name="RepeatBlock-AmendEN"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35\fbidi \froman\fcharset238\fprq2 Times New Roman CE;}{\f336\fbidi \froman\fcharset204\fprq2 Times New Roman Cyr;}_x000d__x000a_{\f338\fbidi \froman\fcharset161\fprq2 Times New Roman Greek;}{\f339\fbidi \froman\fcharset162\fprq2 Times New Roman Tur;}{\f340\fbidi \froman\fcharset177\fprq2 Times New Roman (Hebrew);}{\f341\fbidi \froman\fcharset178\fprq2 Times New Roman (Arabic);}_x000d__x000a_{\f342\fbidi \froman\fcharset186\fprq2 Times New Roman Baltic;}{\f343\fbidi \froman\fcharset163\fprq2 Times New Roman (Vietnamese);}{\f345\fbidi \fswiss\fcharset238\fprq2 Arial CE;}{\f346\fbidi \fswiss\fcharset204\fprq2 Arial Cyr;}_x000d__x000a_{\f348\fbidi \fswiss\fcharset161\fprq2 Arial Greek;}{\f349\fbidi \fswiss\fcharset162\fprq2 Arial Tur;}{\f350\fbidi \fswiss\fcharset177\fprq2 Arial (Hebrew);}{\f351\fbidi \fswiss\fcharset178\fprq2 Arial (Arabic);}_x000d__x000a_{\f352\fbidi \fswiss\fcharset186\fprq2 Arial Baltic;}{\f353\fbidi \fswiss\fcharset163\fprq2 Arial (Vietnamese);}{\f675\fbidi \froman\fcharset238\fprq2 Cambria Math CE;}{\f676\fbidi \froman\fcharset204\fprq2 Cambria Math Cyr;}_x000d__x000a_{\f678\fbidi \froman\fcharset161\fprq2 Cambria Math Greek;}{\f679\fbidi \froman\fcharset162\fprq2 Cambria Math Tur;}{\f682\fbidi \froman\fcharset186\fprq2 Cambria Math Baltic;}{\f683\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9\lang1024\langfe1024\noproof \spriority0 \styrsid3215877 HideTWBExt;}{\*\cs18 \additive \v\f1\fs20\cf15 _x000d__x000a_\spriority0 \styrsid3215877 HideTWBInt;}{\s19\ql \li0\ri0\sa120\nowidctlpar\wrapdefault\aspalpha\aspnum\faauto\adjustright\rin0\lin0\itap0 \rtlch\fcs1 \af0\afs20\alang1025 \ltrch\fcs0 \fs24\lang2057\langfe2057\cgrid\langnp2057\langfenp2057 _x000d__x000a_\sbasedon0 \snext19 \spriority0 \styrsid3215877 Normal6a;}{\s20\ql \li0\ri0\nowidctlpar\wrapdefault\aspalpha\aspnum\faauto\adjustright\rin0\lin0\itap0 \rtlch\fcs1 \af0\afs20\alang1025 \ltrch\fcs0 \b\fs24\lang2057\langfe2057\cgrid\langnp2057\langfenp2057 _x000d__x000a_\sbasedon0 \snext20 \spriority0 \styrsid3215877 NormalBold;}{\s21\ql \li0\ri0\sa240\nowidctlpar\wrapdefault\aspalpha\aspnum\faauto\adjustright\rin0\lin0\itap0 \rtlch\fcs1 \af0\afs20\alang1025 \ltrch\fcs0 _x000d__x000a_\i\fs24\lang2057\langfe2057\cgrid\langnp2057\langfenp2057 \sbasedon0 \snext21 \spriority0 \styrsid3215877 AmJustText;}{\s22\qc \li0\ri0\sb240\sa240\nowidctlpar\wrapdefault\aspalpha\aspnum\faauto\adjustright\rin0\lin0\itap0 \rtlch\fcs1 _x000d__x000a_\af0\afs20\alang1025 \ltrch\fcs0 \i\fs24\lang2057\langfe2057\cgrid\langnp2057\langfenp2057 \sbasedon0 \snext22 \spriority0 \styrsid3215877 AmCrossRef;}{_x000d__x000a_\s23\qc \li0\ri0\sb240\sa240\keepn\nowidctlpar\wrapdefault\aspalpha\aspnum\faauto\adjustright\rin0\lin0\itap0 \rtlch\fcs1 \af0\afs20\alang1025 \ltrch\fcs0 \i\fs24\lang2057\langfe2057\cgrid\langnp2057\langfenp2057 _x000d__x000a_\sbasedon0 \snext21 \spriority0 \styrsid3215877 AmJustTitle;}{\s24\qr \li0\ri0\sb240\sa240\nowidctlpar\wrapdefault\aspalpha\aspnum\faauto\adjustright\rin0\lin0\itap0 \rtlch\fcs1 \af0\afs20\alang1025 \ltrch\fcs0 _x000d__x000a_\fs24\lang2057\langfe2057\cgrid\langnp2057\langfenp2057 \sbasedon0 \snext24 \spriority0 \styrsid3215877 AmOrLang;}{\s25\qc \li0\ri0\sa240\nowidctlpar\wrapdefault\aspalpha\aspnum\faauto\adjustright\rin0\lin0\itap0 \rtlch\fcs1 \af0\afs20\alang1025 _x000d__x000a_\ltrch\fcs0 \i\fs24\lang2057\langfe2057\cgrid\langnp2057\langfenp2057 \sbasedon0 \snext25 \spriority0 \styrsid3215877 Am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3215877 AmNumberTabs;}{\s27\ql \li0\ri0\sb240\nowidctlpar\wrapdefault\aspalpha\aspnum\faauto\adjustright\rin0\lin0\itap0 \rtlch\fcs1 _x000d__x000a_\af0\afs20\alang1025 \ltrch\fcs0 \b\fs24\lang2057\langfe2057\cgrid\langnp2057\langfenp2057 \sbasedon0 \snext27 \spriority0 \styrsid3215877 NormalBold12b;}}{\*\rsidtbl \rsid24658\rsid223860\rsid735077\rsid1718133\rsid2892074\rsid3215877\rsid3565327_x000d__x000a_\rsid4666813\rsid6641733\rsid7823322\rsid9636012\rsid10377208\rsid11215221\rsid11549030\rsid11881957\rsid12154954\rsid14382809\rsid14424199\rsid15204470\rsid15285974\rsid15950462\rsid16324206\rsid16662270}{\mmathPr\mmathFont34\mbrkBin0\mbrkBinSub0_x000d__x000a_\msmallFrac0\mdispDef1\mlMargin0\mrMargin0\mdefJc1\mwrapIndent1440\mintLim0\mnaryLim1}{\info{\author RODRIGUEZ MALNERO Yolanda}{\operator RODRIGUEZ MALNERO Yolanda}{\creatim\yr2025\mo5\dy26\hr10\min29}{\revtim\yr2025\mo5\dy26\hr10\min29}{\version1}_x000d__x000a_{\edmins0}{\nofpages1}{\nofwords104}{\nofchars596}{\nofcharsws699}{\vern109}}{\*\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3215877\newtblstyruls\nogrowautofit\usenormstyforlist\noindnmbrts\felnbrelev\nocxsptable\indrlsweleven\noafcnsttbl\afelev\utinl\hwelev\spltpgpar\notcvasp\notbrkcnstfrctbl\notvatxbx\krnprsnet\cachedcolbal _x000d__x000a_\nouicompat \fet0{\*\wgrffmtfilter 013f}\nofeaturethrottle1\ilfomacatclnup0{\*\template C:\\Users\\YRODRI~1\\AppData\\Local\\Temp\\Blank1.dotx}{\*\ftnsep \ltrpar \pard\plain \ltrpar_x000d__x000a_\ql \li0\ri0\widctlpar\wrapdefault\aspalpha\aspnum\faauto\adjustright\rin0\lin0\itap0 \rtlch\fcs1 \af0\afs20\alang1025 \ltrch\fcs0 \fs24\lang2057\langfe2057\cgrid\langnp2057\langfenp2057 {\rtlch\fcs1 \af0 \ltrch\fcs0 \insrsid11881957 \chftnsep _x000d__x000a_\par }}{\*\ftnsepc \ltrpar \pard\plain \ltrpar\ql \li0\ri0\widctlpar\wrapdefault\aspalpha\aspnum\faauto\adjustright\rin0\lin0\itap0 \rtlch\fcs1 \af0\afs20\alang1025 \ltrch\fcs0 \fs24\lang2057\langfe2057\cgrid\langnp2057\langfenp2057 {\rtlch\fcs1 \af0 _x000d__x000a_\ltrch\fcs0 \insrsid11881957 \chftnsepc _x000d__x000a_\par }}{\*\aftnsep \ltrpar \pard\plain \ltrpar\ql \li0\ri0\widctlpar\wrapdefault\aspalpha\aspnum\faauto\adjustright\rin0\lin0\itap0 \rtlch\fcs1 \af0\afs20\alang1025 \ltrch\fcs0 \fs24\lang2057\langfe2057\cgrid\langnp2057\langfenp2057 {\rtlch\fcs1 \af0 _x000d__x000a_\ltrch\fcs0 \insrsid11881957 \chftnsep _x000d__x000a_\par }}{\*\aftnsepc \ltrpar \pard\plain \ltrpar\ql \li0\ri0\widctlpar\wrapdefault\aspalpha\aspnum\faauto\adjustright\rin0\lin0\itap0 \rtlch\fcs1 \af0\afs20\alang1025 \ltrch\fcs0 \fs24\lang2057\langfe2057\cgrid\langnp2057\langfenp2057 {\rtlch\fcs1 \af0 _x000d__x000a_\ltrch\fcs0 \insrsid11881957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6\ql \li0\ri0\sb240\keepn\nowidctlpar_x000d__x000a_\tx879\tx936\tx1021\tx1077\tx1134\tx1191\tx1247\tx1304\tx1361\tx1418\tx1474\tx1531\tx1588\tx1644\tx1701\tx1758\tx1814\tx1871\tx2070\tx2126\tx3374\tx3430\wrapdefault\aspalpha\aspnum\faauto\adjustright\rin0\lin0\itap0\pararsid3215877 \rtlch\fcs1 _x000d__x000a_\af0\afs20\alang1025 \ltrch\fcs0 \b\fs24\lang2057\langfe2057\cgrid\langnp2057\langfenp2057 {\rtlch\fcs1 \af0 \ltrch\fcs0 \cs17\b0\v\fs20\cf9\lang1024\langfe1024\loch\af1\hich\af1\dbch\af31501\noproof\insrsid3215877\charrsid1583254 {\*\bkmkstart restart}_x000d__x000a_\hich\af1\dbch\af31501\loch\f1 &lt;Amend&gt;}{\rtlch\fcs1 \af0 \ltrch\fcs0 \insrsid3215877\charrsid1583254 Amendment\tab \tab }{\rtlch\fcs1 \af0 \ltrch\fcs0 _x000d__x000a_\cs17\b0\v\fs20\cf9\lang1024\langfe1024\loch\af1\hich\af1\dbch\af31501\noproof\insrsid3215877\charrsid1583254 \hich\af1\dbch\af31501\loch\f1 &lt;NumAm&gt;}{\rtlch\fcs1 \af0 \ltrch\fcs0 \insrsid3215877\charrsid1583254 #}{\rtlch\fcs1 \af1 \ltrch\fcs0 _x000d__x000a_\cs18\v\f1\fs20\cf15\insrsid3215877\charrsid1583254 ENMIENDA@NRAM@}{\rtlch\fcs1 \af0 \ltrch\fcs0 \insrsid3215877\charrsid1583254 #}{\rtlch\fcs1 \af0 \ltrch\fcs0 _x000d__x000a_\cs17\b0\v\fs20\cf9\lang1024\langfe1024\loch\af1\hich\af1\dbch\af31501\noproof\insrsid3215877\charrsid1583254 \hich\af1\dbch\af31501\loch\f1 &lt;/NumAm&gt;}{\rtlch\fcs1 \af0 \ltrch\fcs0 \insrsid3215877\charrsid1583254 _x000d__x000a_\par }\pard\plain \ltrpar\s27\ql \li0\ri0\sb240\keepn\nowidctlpar\wrapdefault\aspalpha\aspnum\faauto\adjustright\rin0\lin0\itap0\pararsid3215877 \rtlch\fcs1 \af0\afs20\alang1025 \ltrch\fcs0 \b\fs24\lang2057\langfe2057\cgrid\langnp2057\langfenp2057 {_x000d__x000a_\rtlch\fcs1 \af0 \ltrch\fcs0 \cs17\b0\v\fs20\cf9\lang1024\langfe1024\loch\af1\hich\af1\dbch\af31501\noproof\insrsid3215877\charrsid1583254 \hich\af1\dbch\af31501\loch\f1 &lt;DocAmend&gt;}{\rtlch\fcs1 \af0 \ltrch\fcs0 \insrsid3215877\charrsid1583254 Prop_x000d__x000a_osal for a #}{\rtlch\fcs1 \af1 \ltrch\fcs0 \cs18\v\f1\fs20\cf15\insrsid3215877\charrsid1583254 MNU[DOC1][DOC2][DOC3]@DOCMSG@DOCMNU}{\rtlch\fcs1 \af0 \ltrch\fcs0 \insrsid3215877\charrsid1583254 ##}{\rtlch\fcs1 \af1 \ltrch\fcs0 _x000d__x000a_\cs18\v\f1\fs20\cf15\insrsid3215877\charrsid1583254 MNU[AMACTYES][NOTAPP]@CHOICE@AMACTMNU}{\rtlch\fcs1 \af0 \ltrch\fcs0 \insrsid3215877\charrsid1583254 #}{\rtlch\fcs1 \af0 \ltrch\fcs0 _x000d__x000a_\cs17\b0\v\fs20\cf9\lang1024\langfe1024\loch\af1\hich\af1\dbch\af31501\noproof\insrsid3215877\charrsid1583254 \hich\af1\dbch\af31501\loch\f1 &lt;/DocAmend&gt;}{\rtlch\fcs1 \af0 \ltrch\fcs0 \insrsid3215877\charrsid1583254 _x000d__x000a_\par }\pard\plain \ltrpar\s20\ql \li0\ri0\keepn\nowidctlpar\wrapdefault\aspalpha\aspnum\faauto\adjustright\rin0\lin0\itap0\pararsid3215877 \rtlch\fcs1 \af0\afs20\alang1025 \ltrch\fcs0 \b\fs24\lang2057\langfe2057\cgrid\langnp2057\langfenp2057 {\rtlch\fcs1 \af0 _x000d__x000a_\ltrch\fcs0 \cs17\b0\v\fs20\cf9\lang1024\langfe1024\loch\af1\hich\af1\dbch\af31501\noproof\insrsid3215877\charrsid1583254 \hich\af1\dbch\af31501\loch\f1 &lt;Article&gt;}{\rtlch\fcs1 \af0 \ltrch\fcs0 \insrsid3215877\charrsid1583254 #}{\rtlch\fcs1 \af1 _x000d__x000a_\ltrch\fcs0 \cs18\v\f1\fs20\cf15\insrsid3215877\charrsid1583254 MNU[AMACTPARTYES][AMACTPARTNO]@CHOICE@AMACTMNU}{\rtlch\fcs1 \af0 \ltrch\fcs0 \insrsid3215877\charrsid1583254 #}{\rtlch\fcs1 \af0 \ltrch\fcs0 _x000d__x000a_\cs17\b0\v\fs20\cf9\lang1024\langfe1024\loch\af1\hich\af1\dbch\af31501\noproof\insrsid3215877\charrsid1583254 \hich\af1\dbch\af31501\loch\f1 &lt;/Article&gt;}{\rtlch\fcs1 \af0 \ltrch\fcs0 \insrsid3215877\charrsid1583254 _x000d__x000a_\par }\pard\plain \ltrpar\ql \li0\ri0\keepn\widctlpar\wrapdefault\aspalpha\aspnum\faauto\adjustright\rin0\lin0\itap0\pararsid3215877 \rtlch\fcs1 \af0\afs20\alang1025 \ltrch\fcs0 \fs24\lang2057\langfe2057\cgrid\langnp2057\langfenp2057 {\rtlch\fcs1 \af0 _x000d__x000a_\ltrch\fcs0 \cs17\v\fs20\cf9\lang1024\langfe1024\loch\af1\hich\af1\dbch\af31501\noproof\insrsid3215877\charrsid1583254 \hich\af1\dbch\af31501\loch\f1 &lt;DocAmend2&gt;&lt;OptDel&gt;}{\rtlch\fcs1 \af0 \ltrch\fcs0 \insrsid3215877\charrsid1583254 #}{\rtlch\fcs1 \af1 _x000d__x000a_\ltrch\fcs0 \cs18\v\f1\fs20\cf15\insrsid3215877\charrsid1583254 MNU[OPTNRACTYES][NOTAPP]@CHOICE@AMACTMNU}{\rtlch\fcs1 \af0 \ltrch\fcs0 \insrsid3215877\charrsid1583254 #}{\rtlch\fcs1 \af0 \ltrch\fcs0 _x000d__x000a_\cs17\v\fs20\cf9\lang1024\langfe1024\loch\af1\hich\af1\dbch\af31501\noproof\insrsid3215877\charrsid1583254 \hich\af1\dbch\af31501\loch\f1 &lt;/OptDel&gt;&lt;/DocAmend2&gt;}{\rtlch\fcs1 \af0 \ltrch\fcs0 \insrsid3215877\charrsid1583254 _x000d__x000a_\par }\pard \ltrpar\ql \li0\ri0\widctlpar\wrapdefault\aspalpha\aspnum\faauto\adjustright\rin0\lin0\itap0\pararsid3215877 {\rtlch\fcs1 \af0 \ltrch\fcs0 \cs17\v\fs20\cf9\lang1024\langfe1024\loch\af1\hich\af1\dbch\af31501\noproof\insrsid3215877\charrsid1583254 _x000d__x000a_\hich\af1\dbch\af31501\loch\f1 &lt;Article2&gt;&lt;OptDel&gt;}{\rtlch\fcs1 \af0 \ltrch\fcs0 \insrsid3215877\charrsid1583254 #}{\rtlch\fcs1 \af1 \ltrch\fcs0 \cs18\v\f1\fs20\cf15\insrsid3215877\charrsid1583254 MNU[OPTACTPARTYES][NOTAPP]@CHOICE@AMACTMNU}{\rtlch\fcs1 _x000d__x000a_\af0 \ltrch\fcs0 \insrsid3215877\charrsid1583254 #}{\rtlch\fcs1 \af0 \ltrch\fcs0 \cs17\v\fs20\cf9\lang1024\langfe1024\loch\af1\hich\af1\dbch\af31501\noproof\insrsid3215877\charrsid1583254 \hich\af1\dbch\af31501\loch\f1 &lt;/OptDel&gt;&lt;/Article2&gt;}{\rtlch\fcs1 _x000d__x000a_\af0 \ltrch\fcs0 \insrsid3215877\charrsid1583254 _x000d__x000a_\par \ltrrow}\trowd \irow0\irowband0\ltrrow\ts11\trqc\trgaph340\trleft0\trftsWidth3\trwWidth9752\trftsWidthB3\trpaddl340\trpaddr340\trpaddfl3\trpaddft3\trpaddfb3\trpaddfr3\tblrsid2517430\tblind0\tblindtype3 \clvertalt\clbrdrt\brdrtbl \clbrdrl\brdrtbl \clbrdrb_x000d__x000a_\brdrtbl \clbrdrr\brdrtbl \cltxlrtb\clftsWidth3\clwWidth9752\clshdrawnil \cellx9752\pard\plain \ltrpar\ql \li0\ri0\keepn\widctlpar\intbl\wrapdefault\aspalpha\aspnum\faauto\adjustright\rin0\lin0\pararsid14315216 \rtlch\fcs1 \af0\afs20\alang1025 _x000d__x000a_\ltrch\fcs0 \fs24\lang2057\langfe2057\cgrid\langnp2057\langfenp2057 {\rtlch\fcs1 \af0 \ltrch\fcs0 \insrsid3215877\charrsid1583254 \cell }\pard\plain \ltrpar\ql \li0\ri0\widctlpar\intbl\wrapdefault\aspalpha\aspnum\faauto\adjustright\rin0\lin0 \rtlch\fcs1 _x000d__x000a_\af0\afs20\alang1025 \ltrch\fcs0 \fs24\lang2057\langfe2057\cgrid\langnp2057\langfenp2057 {\rtlch\fcs1 \af0 \ltrch\fcs0 \insrsid3215877\charrsid1583254 \trowd \irow0\irowband0\ltrrow_x000d__x000a_\ts11\trqc\trgaph340\trleft0\trftsWidth3\trwWidth9752\trftsWidthB3\trpaddl340\trpaddr340\trpaddfl3\trpaddft3\trpaddfb3\trpaddfr3\tblrsid2517430\tblind0\tblindtype3 \clvertalt\clbrdrt\brdrtbl \clbrdrl\brdrtbl \clbrdrb\brdrtbl \clbrdrr\brdrtbl _x000d__x000a_\cltxlrtb\clftsWidth3\clwWidth9752\clshdrawnil \cellx9752\row \ltrrow}\trowd \irow1\irowband1\ltrrow_x000d__x000a_\ts11\trqc\trgaph340\trleft0\trftsWidth3\trwWidth9752\trftsWidthB3\trpaddl340\trpaddr340\trpaddfl3\trpaddft3\trpaddfb3\trpaddfr3\tblrsid2517430\tblind0\tblindtype3 \clvertalt\clbrdrt\brdrtbl \clbrdrl\brdrtbl \clbrdrb\brdrtbl \clbrdrr\brdrtbl _x000d__x000a_\cltxlrtb\clftsWidth3\clwWidth4876\clshdrawnil \cellx4876\clvertalt\clbrdrt\brdrtbl \clbrdrl\brdrtbl \clbrdrb\brdrtbl \clbrdrr\brdrtbl \cltxlrtb\clftsWidth3\clwWidth4876\clshdrawnil \cellx9752\pard\plain \ltrpar_x000d__x000a_\s25\qc \li0\ri0\sa240\keepn\nowidctlpar\intbl\wrapdefault\aspalpha\aspnum\faauto\adjustright\rin0\lin0\pararsid14315216 \rtlch\fcs1 \af0\afs20\alang1025 \ltrch\fcs0 \i\fs24\lang2057\langfe2057\cgrid\langnp2057\langfenp2057 {\rtlch\fcs1 \af0 \ltrch\fcs0 _x000d__x000a_\insrsid3215877\charrsid1583254 #}{\rtlch\fcs1 \af1 \ltrch\fcs0 \cs18\v\f1\fs20\cf15\insrsid3215877\charrsid1583254 MNU[OPTLEFTAMACT][LEFTPROP]@CHOICE@AMACTMNU}{\rtlch\fcs1 \af0 \ltrch\fcs0 \insrsid3215877\charrsid1583254 #\cell Amendment\cell _x000d__x000a_}\pard\plain \ltrpar\ql \li0\ri0\widctlpar\intbl\wrapdefault\aspalpha\aspnum\faauto\adjustright\rin0\lin0 \rtlch\fcs1 \af0\afs20\alang1025 \ltrch\fcs0 \fs24\lang2057\langfe2057\cgrid\langnp2057\langfenp2057 {\rtlch\fcs1 \af0 \ltrch\fcs0 _x000d__x000a_\insrsid3215877\charrsid1583254 \trowd \irow1\irowband1\ltrrow\ts11\trqc\trgaph340\trleft0\trftsWidth3\trwWidth9752\trftsWidthB3\trpaddl340\trpaddr340\trpaddfl3\trpaddft3\trpaddfb3\trpaddfr3\tblrsid2517430\tblind0\tblindtype3 \clvertalt\clbrdrt\brdrtbl _x000d__x000a_\clbrdrl\brdrtbl \clbrdrb\brdrtbl \clbrdrr\brdrtbl \cltxlrtb\clftsWidth3\clwWidth4876\clshdrawnil \cellx4876\clvertalt\clbrdrt\brdrtbl \clbrdrl\brdrtbl \clbrdrb\brdrtbl \clbrdrr\brdrtbl \cltxlrtb\clftsWidth3\clwWidth4876\clshdrawnil \cellx9752\row \ltrrow_x000d__x000a_}\pard\plain \ltrpar\s19\ql \li0\ri0\sa120\nowidctlpar\intbl\wrapdefault\aspalpha\aspnum\faauto\adjustright\rin0\lin0\pararsid2517430 \rtlch\fcs1 \af0\afs20\alang1025 \ltrch\fcs0 \fs24\lang2057\langfe2057\cgrid\langnp2057\langfenp2057 {\rtlch\fcs1 \af0 _x000d__x000a_\ltrch\fcs0 \insrsid3215877\charrsid1583254 ##\cell ##}{\rtlch\fcs1 \af0\afs24 \ltrch\fcs0 \insrsid3215877\charrsid1583254 \cell }\pard\plain \ltrpar\ql \li0\ri0\widctlpar\intbl\wrapdefault\aspalpha\aspnum\faauto\adjustright\rin0\lin0 \rtlch\fcs1 _x000d__x000a_\af0\afs20\alang1025 \ltrch\fcs0 \fs24\lang2057\langfe2057\cgrid\langnp2057\langfenp2057 {\rtlch\fcs1 \af0 \ltrch\fcs0 \insrsid3215877\charrsid1583254 \trowd \irow2\irowband2\lastrow \ltrrow_x000d__x000a_\ts11\trqc\trgaph340\trleft0\trftsWidth3\trwWidth9752\trftsWidthB3\trpaddl340\trpaddr340\trpaddfl3\trpaddft3\trpaddfb3\trpaddfr3\tblrsid2517430\tblind0\tblindtype3 \clvertalt\clbrdrt\brdrtbl \clbrdrl\brdrtbl \clbrdrb\brdrtbl \clbrdrr\brdrtbl _x000d__x000a_\cltxlrtb\clftsWidth3\clwWidth4876\clshdrawnil \cellx4876\clvertalt\clbrdrt\brdrtbl \clbrdrl\brdrtbl \clbrdrb\brdrtbl \clbrdrr\brdrtbl \cltxlrtb\clftsWidth3\clwWidth4876\clshdrawnil \cellx9752\row }\pard\plain \ltrpar_x000d__x000a_\s24\qr \li0\ri0\sb240\sa240\nowidctlpar\wrapdefault\aspalpha\aspnum\faauto\adjustright\rin0\lin0\itap0\pararsid3215877 \rtlch\fcs1 \af0\afs20\alang1025 \ltrch\fcs0 \fs24\lang2057\langfe2057\cgrid\langnp2057\langfenp2057 {\rtlch\fcs1 \af0 \ltrch\fcs0 _x000d__x000a_\insrsid3215877\charrsid1583254 Or. }{\rtlch\fcs1 \af0 \ltrch\fcs0 \cs17\v\fs20\cf9\lang1024\langfe1024\loch\af1\hich\af1\dbch\af31501\noproof\insrsid3215877\charrsid1583254 \hich\af1\dbch\af31501\loch\f1 &lt;Original&gt;}{\rtlch\fcs1 \af0 \ltrch\fcs0 _x000d__x000a_\insrsid3215877\charrsid1583254 #}{\rtlch\fcs1 \af1 \ltrch\fcs0 \cs18\v\f1\fs20\cf15\insrsid3215877\charrsid1583254 MNU[ORLANGONE][ORLANGMORE]@CHOICE@ORLANGMNU}{\rtlch\fcs1 \af0 \ltrch\fcs0 \insrsid3215877\charrsid1583254 #}{\rtlch\fcs1 \af0 \ltrch\fcs0 _x000d__x000a_\cs17\v\fs20\cf9\lang1024\langfe1024\loch\af1\hich\af1\dbch\af31501\noproof\insrsid3215877\charrsid1583254 \hich\af1\dbch\af31501\loch\f1 &lt;/Original&gt;}{\rtlch\fcs1 \af0 \ltrch\fcs0 \insrsid3215877\charrsid1583254 _x000d__x000a_\par }\pard\plain \ltrpar\s22\qc \li0\ri0\sb240\sa240\nowidctlpar\wrapdefault\aspalpha\aspnum\faauto\adjustright\rin0\lin0\itap0\pararsid3215877 \rtlch\fcs1 \af0\afs20\alang1025 \ltrch\fcs0 \i\fs24\lang2057\langfe2057\cgrid\langnp2057\langfenp2057 {_x000d__x000a_\rtlch\fcs1 \af0 \ltrch\fcs0 \cs17\i0\v\fs20\cf9\lang1024\langfe1024\loch\af1\hich\af1\dbch\af31501\noproof\insrsid3215877\charrsid1583254 \hich\af1\dbch\af31501\loch\f1 &lt;OptDel&gt;}{\rtlch\fcs1 \af0 \ltrch\fcs0 \insrsid3215877\charrsid1583254 #}{_x000d__x000a_\rtlch\fcs1 \af1 \ltrch\fcs0 \cs18\v\f1\fs20\cf15\insrsid3215877\charrsid1583254 MNU[CROSSREFNO][CROSSREFYES]@CHOICE@}{\rtlch\fcs1 \af0 \ltrch\fcs0 \insrsid3215877\charrsid1583254 #}{\rtlch\fcs1 \af0 \ltrch\fcs0 _x000d__x000a_\cs17\i0\v\fs20\cf9\lang1024\langfe1024\loch\af1\hich\af1\dbch\af31501\noproof\insrsid3215877\charrsid1583254 \hich\af1\dbch\af31501\loch\f1 &lt;/OptDel&gt;}{\rtlch\fcs1 \af0 \ltrch\fcs0 \insrsid3215877\charrsid1583254 _x000d__x000a_\par }\pard\plain \ltrpar\s23\qc \li0\ri0\sb240\sa240\keepn\nowidctlpar\wrapdefault\aspalpha\aspnum\faauto\adjustright\rin0\lin0\itap0\pararsid3215877 \rtlch\fcs1 \af0\afs20\alang1025 \ltrch\fcs0 \i\fs24\lang2057\langfe2057\cgrid\langnp2057\langfenp2057 {_x000d__x000a_\rtlch\fcs1 \af0 \ltrch\fcs0 \cs17\i0\v\fs20\cf9\lang1024\langfe1024\loch\af1\hich\af1\dbch\af31501\noproof\insrsid3215877\charrsid1583254 \hich\af1\dbch\af31501\loch\f1 &lt;TitreJust&gt;}{\rtlch\fcs1 \af0 \ltrch\fcs0 \insrsid3215877\charrsid1583254 _x000d__x000a_Justification}{\rtlch\fcs1 \af0 \ltrch\fcs0 \cs17\i0\v\fs20\cf9\lang1024\langfe1024\loch\af1\hich\af1\dbch\af31501\noproof\insrsid3215877\charrsid1583254 \hich\af1\dbch\af31501\loch\f1 &lt;/TitreJust&gt;}{\rtlch\fcs1 \af0 \ltrch\fcs0 _x000d__x000a_\insrsid3215877\charrsid1583254 _x000d__x000a_\par }\pard\plain \ltrpar\s21\ql \li0\ri0\sa240\nowidctlpar\wrapdefault\aspalpha\aspnum\faauto\adjustright\rin0\lin0\itap0\pararsid3215877 \rtlch\fcs1 \af0\afs20\alang1025 \ltrch\fcs0 \i\fs24\lang2057\langfe2057\cgrid\langnp2057\langfenp2057 {\rtlch\fcs1 \af0 _x000d__x000a_\ltrch\fcs0 \cs17\i0\v\fs20\cf9\lang1024\langfe1024\loch\af1\hich\af1\dbch\af31501\noproof\insrsid3215877\charrsid1583254 \hich\af1\dbch\af31501\loch\f1 &lt;OptDelPrev&gt;}{\rtlch\fcs1 \af0 \ltrch\fcs0 \insrsid3215877\charrsid1583254 #}{\rtlch\fcs1 \af1 _x000d__x000a_\ltrch\fcs0 \cs18\v\f1\fs20\cf15\insrsid3215877\charrsid1583254 MNU[TEXTJUSTYES][TEXTJUSTNO]@CHOICE@}{\rtlch\fcs1 \af0 \ltrch\fcs0 \insrsid3215877\charrsid1583254 #}{\rtlch\fcs1 \af0 \ltrch\fcs0 _x000d__x000a_\cs17\i0\v\fs20\cf9\lang1024\langfe1024\loch\af1\hich\af1\dbch\af31501\noproof\insrsid3215877\charrsid1583254 \hich\af1\dbch\af31501\loch\f1 &lt;/OptDelPrev&gt;}{\rtlch\fcs1 \af0 \ltrch\fcs0 \insrsid3215877\charrsid1583254 _x000d__x000a_\par }\pard\plain \ltrpar\ql \li0\ri0\widctlpar\wrapdefault\aspalpha\aspnum\faauto\adjustright\rin0\lin0\itap0\pararsid3215877 \rtlch\fcs1 \af0\afs20\alang1025 \ltrch\fcs0 \fs24\lang2057\langfe2057\cgrid\langnp2057\langfenp2057 {\rtlch\fcs1 \af0 \ltrch\fcs0 _x000d__x000a_\cs17\v\fs20\cf9\lang1024\langfe1024\loch\af1\hich\af1\dbch\af31501\noproof\insrsid3215877\charrsid1583254 \hich\af1\dbch\af31501\loch\f1 &lt;/Amend&gt;}{\rtlch\fcs1 \af0 \ltrch\fcs0 \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1069_x000d__x000a_914018cedb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1615661 HideTWBExt;}{\s16\ql \li0\ri0\sa120\nowidctlpar\wrapdefault\aspalpha\aspnum\faauto\adjustright\rin0\lin0\itap0 \rtlch\fcs1 \af0\afs20\alang1025 \ltrch\fcs0 _x000d__x000a_\fs24\lang2057\langfe2057\cgrid\langnp2057\langfenp2057 \sbasedon0 \snext16 \spriority0 \styrsid11615661 Normal6a;}{\s17\ql \li0\ri0\nowidctlpar\wrapdefault\aspalpha\aspnum\faauto\adjustright\rin0\lin0\itap0 \rtlch\fcs1 \af0\afs20\alang1025 \ltrch\fcs0 _x000d__x000a_\b\fs24\lang2057\langfe2057\cgrid\langnp2057\langfenp2057 \sbasedon0 \snext17 \spriority0 \styrsid11615661 NormalBold;}{\s18\ql \li0\ri0\sa240\nowidctlpar\wrapdefault\aspalpha\aspnum\faauto\adjustright\rin0\lin0\itap0 \rtlch\fcs1 \af0\afs20\alang1025 _x000d__x000a_\ltrch\fcs0 \i\fs24\lang2057\langfe2057\cgrid\langnp2057\langfenp2057 \sbasedon0 \snext18 \spriority0 \styrsid11615661 AmJustText;}{\s19\qc \li0\ri0\sb240\sa240\nowidctlpar\wrapdefault\aspalpha\aspnum\faauto\adjustright\rin0\lin0\itap0 \rtlch\fcs1 _x000d__x000a_\af0\afs20\alang1025 \ltrch\fcs0 \i\fs24\lang2057\langfe2057\cgrid\langnp2057\langfenp2057 \sbasedon0 \snext19 \spriority0 \styrsid11615661 AmCrossRef;}{_x000d__x000a_\s20\qc \li0\ri0\sb240\sa240\keepn\nowidctlpar\wrapdefault\aspalpha\aspnum\faauto\adjustright\rin0\lin0\itap0 \rtlch\fcs1 \af0\afs20\alang1025 \ltrch\fcs0 \i\fs24\lang2057\langfe2057\cgrid\langnp2057\langfenp2057 _x000d__x000a_\sbasedon0 \snext18 \spriority0 \styrsid11615661 AmJustTitle;}{\s21\qr \li0\ri0\sb240\sa240\nowidctlpar\wrapdefault\aspalpha\aspnum\faauto\adjustright\rin0\lin0\itap0 \rtlch\fcs1 \af0\afs20\alang1025 \ltrch\fcs0 _x000d__x000a_\fs24\lang2057\langfe2057\cgrid\langnp2057\langfenp2057 \sbasedon0 \snext21 \spriority0 \styrsid11615661 AmOrLang;}{\s22\qc \li0\ri0\sa240\nowidctlpar\wrapdefault\aspalpha\aspnum\faauto\adjustright\rin0\lin0\itap0 \rtlch\fcs1 \af0\afs20\alang1025 _x000d__x000a_\ltrch\fcs0 \i\fs24\lang2057\langfe2057\cgrid\langnp2057\langfenp2057 \sbasedon0 \snext22 \spriority0 \styrsid11615661 AmColumnHeading;}{\s23\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3 \spriority0 \styrsid11615661 AmNumberTabs;}{\s24\ql \li0\ri0\sb240\nowidctlpar\wrapdefault\aspalpha\aspnum\faauto\adjustright\rin0\lin0\itap0 \rtlch\fcs1 _x000d__x000a_\af0\afs20\alang1025 \ltrch\fcs0 \b\fs24\lang2057\langfe2057\cgrid\langnp2057\langfenp2057 \sbasedon0 \snext24 \spriority0 \styrsid11615661 NormalBold12b;}}{\*\rsidtbl \rsid24658\rsid358857\rsid735077\rsid787282\rsid2101837\rsid2892074\rsid3622648_x000d__x000a_\rsid4666813\rsid5708216\rsid6641733\rsid7553164\rsid8465581\rsid8681905\rsid8724649\rsid9636012\rsid9862312\rsid11215221\rsid11370291\rsid11434737\rsid11607138\rsid11615661\rsid11824949\rsid12154954\rsid14424199\rsid15204470\rsid15285974\rsid15535219_x000d__x000a_\rsid15950462\rsid16324206\rsid16662270}{\mmathPr\mmathFont34\mbrkBin0\mbrkBinSub0\msmallFrac0\mdispDef1\mlMargin0\mrMargin0\mdefJc1\mwrapIndent1440\mintLim0\mnaryLim1}{\info{\author FELIX Karina}{\operator FELIX Karina}_x000d__x000a_{\creatim\yr2019\mo7\dy3\hr20\min19}{\revtim\yr2019\mo7\dy3\hr20\min19}{\version1}{\edmins0}{\nofpages1}{\nofwords32}{\nofchars369}{\*\company European Parliament}{\nofcharsws373}{\vern97}}{\*\xmlnstbl {\xmlns1 http://schemas.microsoft.com/office/word/200_x000d__x000a_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1615661\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2101837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2101837 \chftnsepc _x000d__x000a_\par }}{\*\aftnsep \ltrpar \pard\plain \ltrpar\ql \li0\ri0\widctlpar\wrapdefault\aspalpha\aspnum\faauto\adjustright\rin0\lin0\itap0 \rtlch\fcs1 \af0\afs20\alang1025 \ltrch\fcs0 \fs24\lang2057\langfe2057\cgrid\langnp2057\langfenp2057 {\rtlch\fcs1 \af0 _x000d__x000a_\ltrch\fcs0 \insrsid2101837 \chftnsep _x000d__x000a_\par }}{\*\aftnsepc \ltrpar \pard\plain \ltrpar\ql \li0\ri0\widctlpar\wrapdefault\aspalpha\aspnum\faauto\adjustright\rin0\lin0\itap0 \rtlch\fcs1 \af0\afs20\alang1025 \ltrch\fcs0 \fs24\lang2057\langfe2057\cgrid\langnp2057\langfenp2057 {\rtlch\fcs1 \af0 _x000d__x000a_\ltrch\fcs0 \insrsid2101837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3\ql \li0\ri0\sb240\keepn\nowidctlpar\tx879\tx936\tx1021\tx1077\tx1134\tx1191\tx1247\tx1304\tx1361\tx1418\tx1474\tx1531\tx1588\tx1644\tx1701\tx1758\tx1814\tx1871\tx2070\tx2126\tx3374\tx3430\wrapdefault\aspalpha\aspnum\faauto\adjustright\rin0_x000d__x000a_\lin0\itap0\pararsid11615661 \rtlch\fcs1 \af0\afs20\alang1025 \ltrch\fcs0 \b\fs24\lang2057\langfe2057\cgrid\langnp2057\langfenp2057 {\rtlch\fcs1 \af0 \ltrch\fcs0 \cs15\b0\v\f1\fs20\cf9\lang1030\langfe2057\langnp1030\insrsid11615661\charrsid5141309 _x000d__x000a_{\*\bkmkstart restart}&lt;Amend&gt;}{\rtlch\fcs1 \af0 \ltrch\fcs0 \lang1030\langfe2057\langnp1030\insrsid11615661\charrsid5141309 [ZAMENDMENT]\tab \tab }{\rtlch\fcs1 \af0 \ltrch\fcs0 _x000d__x000a_\cs15\b0\v\f1\fs20\cf9\lang1030\langfe2057\langnp1030\insrsid11615661\charrsid5141309 &lt;NumAm&gt;}{\rtlch\fcs1 \af0 \ltrch\fcs0 \lang1030\langfe2057\langnp1030\insrsid11615661\charrsid5141309 [ZNRAM]}{\rtlch\fcs1 \af0 \ltrch\fcs0 _x000d__x000a_\cs15\b0\v\f1\fs20\cf9\lang1030\langfe2057\langnp1030\insrsid11615661\charrsid5141309 &lt;/NumAm&gt;}{\rtlch\fcs1 \af0 \ltrch\fcs0 \lang1030\langfe2057\langnp1030\insrsid11615661\charrsid5141309 _x000d__x000a_\par }\pard\plain \ltrpar\s24\ql \li0\ri0\sb240\keepn\nowidctlpar\wrapdefault\aspalpha\aspnum\faauto\adjustright\rin0\lin0\itap0\pararsid11615661 \rtlch\fcs1 \af0\afs20\alang1025 \ltrch\fcs0 \b\fs24\lang2057\langfe2057\cgrid\langnp2057\langfenp2057 {_x000d__x000a_\rtlch\fcs1 \af0 \ltrch\fcs0 \cs15\b0\v\f1\fs20\cf9\lang1030\langfe2057\langnp1030\insrsid11615661\charrsid5141309 &lt;DocAmend&gt;}{\rtlch\fcs1 \af0 \ltrch\fcs0 \lang1030\langfe2057\langnp1030\insrsid11615661\charrsid5141309 [ZPROPOSAL][ZAMACT]}{\rtlch\fcs1 _x000d__x000a_\af0 \ltrch\fcs0 \cs15\b0\v\f1\fs20\cf9\lang1030\langfe2057\langnp1030\insrsid11615661\charrsid5141309 &lt;/DocAmend&gt;}{\rtlch\fcs1 \af0 \ltrch\fcs0 \lang1030\langfe2057\langnp1030\insrsid11615661\charrsid5141309 _x000d__x000a_\par }\pard\plain \ltrpar\s17\ql \li0\ri0\keepn\nowidctlpar\wrapdefault\aspalpha\aspnum\faauto\adjustright\rin0\lin0\itap0\pararsid11615661 \rtlch\fcs1 \af0\afs20\alang1025 \ltrch\fcs0 \b\fs24\lang2057\langfe2057\cgrid\langnp2057\langfenp2057 {\rtlch\fcs1 _x000d__x000a_\af0 \ltrch\fcs0 \cs15\b0\v\f1\fs20\cf9\lang1030\langfe2057\langnp1030\insrsid11615661\charrsid5141309 &lt;Article&gt;}{\rtlch\fcs1 \af0 \ltrch\fcs0 \lang1030\langfe2057\langnp1030\insrsid11615661\charrsid5141309 [ZAMPART]}{\rtlch\fcs1 \af0 \ltrch\fcs0 _x000d__x000a_\cs15\b0\v\f1\fs20\cf9\lang1030\langfe2057\langnp1030\insrsid11615661\charrsid5141309 &lt;/Article&gt;}{\rtlch\fcs1 \af0 \ltrch\fcs0 \lang1030\langfe2057\langnp1030\insrsid11615661\charrsid5141309 _x000d__x000a_\par }\pard\plain \ltrpar\ql \li0\ri0\keepn\widctlpar\wrapdefault\aspalpha\aspnum\faauto\adjustright\rin0\lin0\itap0\pararsid11615661 \rtlch\fcs1 \af0\afs20\alang1025 \ltrch\fcs0 \fs24\lang2057\langfe2057\cgrid\langnp2057\langfenp2057 {\rtlch\fcs1 \af0 _x000d__x000a_\ltrch\fcs0 \cs15\v\f1\fs20\cf9\lang1043\langfe2057\langnp1043\insrsid11615661\charrsid5141309 &lt;DocAmend2&gt;&lt;OptDel&gt;}{\rtlch\fcs1 \af0 \ltrch\fcs0 \lang1043\langfe2057\langnp1043\insrsid11615661\charrsid5141309 [ZNRACT]}{\rtlch\fcs1 \af0 \ltrch\fcs0 _x000d__x000a_\cs15\v\f1\fs20\cf9\lang1043\langfe2057\langnp1043\insrsid11615661\charrsid5141309 &lt;/OptDel&gt;&lt;/DocAmend2&gt;}{\rtlch\fcs1 \af0 \ltrch\fcs0 \lang1043\langfe2057\langnp1043\insrsid11615661\charrsid5141309 _x000d__x000a_\par }\pard \ltrpar\ql \li0\ri0\widctlpar\wrapdefault\aspalpha\aspnum\faauto\adjustright\rin0\lin0\itap0\pararsid11615661 {\rtlch\fcs1 \af0 \ltrch\fcs0 \cs15\v\f1\fs20\cf9\lang1036\langfe2057\langnp1036\insrsid11615661\charrsid5141309 &lt;Article2&gt;&lt;OptDel&gt;}{_x000d__x000a_\rtlch\fcs1 \af0 \ltrch\fcs0 \lang1036\langfe2057\langnp1036\insrsid11615661\charrsid5141309 [ZACTPART]}{\rtlch\fcs1 \af0 \ltrch\fcs0 \cs15\v\f1\fs20\cf9\lang1036\langfe2057\langnp1036\insrsid11615661\charrsid5141309 &lt;/OptDel&gt;&lt;/Article2&gt;}{\rtlch\fcs1 _x000d__x000a_\af0 \ltrch\fcs0 \lang1036\langfe2057\langnp1036\insrsid11615661\charrsid5141309 _x000d__x000a_\par \ltrrow}\trowd \irow0\irowband0\ltrrow\ts11\trqc\trgaph340\trleft-340\trftsWidth3\trwWidth9752\trftsWidthB3\trpaddl340\trpaddr340\trpaddfl3\trpaddft3\trpaddfb3\trpaddfr3\tblrsid2517430\tblind0\tblindtype3 \clvertalt\clbrdrt\brdrtbl \clbrdrl\brdrtbl _x000d__x000a_\clbrdrb\brdrtbl \clbrdrr\brdrtbl \cltxlrtb\clftsWidth3\clwWidth9752\clshdrawnil \cellx9412\pard\plain \ltrpar\ql \li0\ri0\keepn\widctlpar\intbl\wrapdefault\aspalpha\aspnum\faauto\adjustright\rin0\lin0\pararsid14315216 \rtlch\fcs1 \af0\afs20\alang1025 _x000d__x000a_\ltrch\fcs0 \fs24\lang2057\langfe2057\cgrid\langnp2057\langfenp2057 {\rtlch\fcs1 \af0 \ltrch\fcs0 \lang1036\langfe2057\langnp1036\insrsid11615661\charrsid5141309 \cell }\pard\plain \ltrpar_x000d__x000a_\ql \li0\ri0\widctlpar\intbl\wrapdefault\aspalpha\aspnum\faauto\adjustright\rin0\lin0 \rtlch\fcs1 \af0\afs20\alang1025 \ltrch\fcs0 \fs24\lang2057\langfe2057\cgrid\langnp2057\langfenp2057 {\rtlch\fcs1 \af0 \ltrch\fcs0 \insrsid11615661\charrsid6040559 _x000d__x000a_\trowd \irow0\irowband0\ltrrow\ts11\trqc\trgaph340\trleft-340\trftsWidth3\trwWidth9752\trftsWidthB3\trpaddl340\trpaddr340\trpaddfl3\trpaddft3\trpaddfb3\trpaddfr3\tblrsid2517430\tblind0\tblindtype3 \clvertalt\clbrdrt\brdrtbl \clbrdrl\brdrtbl \clbrdrb_x000d__x000a_\brdrtbl \clbrdrr\brdrtbl \cltxlrtb\clftsWidth3\clwWidth9752\clshdrawnil \cellx9412\row \ltrrow}\trowd \irow1\irowband1\ltrrow_x000d__x000a_\ts11\trqc\trgaph340\trleft-340\trftsWidth3\trwWidth9752\trftsWidthB3\trpaddl340\trpaddr340\trpaddfl3\trpaddft3\trpaddfb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2\qc \li0\ri0\sa240\keepn\nowidctlpar\intbl\wrapdefault\aspalpha\aspnum\faauto\adjustright\rin0\lin0\pararsid14315216 \rtlch\fcs1 \af0\afs20\alang1025 \ltrch\fcs0 \i\fs24\lang2057\langfe2057\cgrid\langnp2057\langfenp2057 {\rtlch\fcs1 \af0 \ltrch\fcs0 _x000d__x000a_\insrsid11615661\charrsid4593153 [ZLEFT]\cell [ZRIGHT]\cell }\pard\plain \ltrpar\ql \li0\ri0\widctlpar\intbl\wrapdefault\aspalpha\aspnum\faauto\adjustright\rin0\lin0 \rtlch\fcs1 \af0\afs20\alang1025 \ltrch\fcs0 _x000d__x000a_\fs24\lang2057\langfe2057\cgrid\langnp2057\langfenp2057 {\rtlch\fcs1 \af0 \ltrch\fcs0 \insrsid11615661\charrsid4593153 \trowd \irow1\irowband1\ltrrow_x000d__x000a_\ts11\trqc\trgaph340\trleft-340\trftsWidth3\trwWidth9752\trftsWidthB3\trpaddl340\trpaddr340\trpaddfl3\trpaddft3\trpaddfb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2517430 \rtlch\fcs1 \af0\afs20\alang1025 \ltrch\fcs0 \fs24\lang2057\langfe2057\cgrid\langnp2057\langfenp2057 {\rtlch\fcs1 \af0 \ltrch\fcs0 _x000d__x000a_\insrsid11615661\charrsid4593153 [ZTEXTL]\cell [ZTEXTR]}{\rtlch\fcs1 \af0\afs24 \ltrch\fcs0 \insrsid11615661\charrsid4593153 \cell }\pard\plain \ltrpar\ql \li0\ri0\widctlpar\intbl\wrapdefault\aspalpha\aspnum\faauto\adjustright\rin0\lin0 \rtlch\fcs1 _x000d__x000a_\af0\afs20\alang1025 \ltrch\fcs0 \fs24\lang2057\langfe2057\cgrid\langnp2057\langfenp2057 {\rtlch\fcs1 \af0 \ltrch\fcs0 \insrsid11615661\charrsid4593153 \trowd \irow2\irowband2\lastrow \ltrrow_x000d__x000a_\ts11\trqc\trgaph340\trleft-340\trftsWidth3\trwWidth9752\trftsWidthB3\trpaddl340\trpaddr340\trpaddfl3\trpaddft3\trpaddfb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r \li0\ri0\sb240\sa240\nowidctlpar\wrapdefault\aspalpha\aspnum\faauto\adjustright\rin0\lin0\itap0\pararsid11615661 \rtlch\fcs1 \af0\afs20\alang1025 \ltrch\fcs0 \fs24\lang2057\langfe2057\cgrid\langnp2057\langfenp2057 {\rtlch\fcs1 \af0 \ltrch\fcs0 _x000d__x000a_\insrsid11615661\charrsid4593153 Or. }{\rtlch\fcs1 \af0 \ltrch\fcs0 \cs15\v\f1\fs20\cf9\insrsid11615661\charrsid4593153 &lt;Original&gt;}{\rtlch\fcs1 \af0 \ltrch\fcs0 \insrsid11615661\charrsid4593153 [ZORLANG]}{\rtlch\fcs1 \af0 \ltrch\fcs0 _x000d__x000a_\cs15\v\f1\fs20\cf9\insrsid11615661\charrsid4593153 &lt;/Original&gt;}{\rtlch\fcs1 \af0 \ltrch\fcs0 \insrsid11615661\charrsid4593153 _x000d__x000a_\par }\pard\plain \ltrpar\s19\qc \li0\ri0\sb240\sa240\nowidctlpar\wrapdefault\aspalpha\aspnum\faauto\adjustright\rin0\lin0\itap0\pararsid11615661 \rtlch\fcs1 \af0\afs20\alang1025 \ltrch\fcs0 \i\fs24\lang2057\langfe2057\cgrid\langnp2057\langfenp2057 {_x000d__x000a_\rtlch\fcs1 \af0 \ltrch\fcs0 \cs15\i0\v\f1\fs20\cf9\insrsid11615661\charrsid4593153 &lt;OptDel&gt;}{\rtlch\fcs1 \af0 \ltrch\fcs0 \insrsid11615661\charrsid4593153 [ZCROSSREF]}{\rtlch\fcs1 \af0 \ltrch\fcs0 \cs15\i0\v\f1\fs20\cf9\insrsid11615661\charrsid4593153 _x000d__x000a_&lt;/OptDel&gt;}{\rtlch\fcs1 \af0 \ltrch\fcs0 \insrsid11615661\charrsid4593153 _x000d__x000a_\par }\pard\plain \ltrpar\s20\qc \li0\ri0\sb240\sa240\keepn\nowidctlpar\wrapdefault\aspalpha\aspnum\faauto\adjustright\rin0\lin0\itap0\pararsid11615661 \rtlch\fcs1 \af0\afs20\alang1025 \ltrch\fcs0 \i\fs24\lang2057\langfe2057\cgrid\langnp2057\langfenp2057 {_x000d__x000a_\rtlch\fcs1 \af0 \ltrch\fcs0 \cs15\i0\v\f1\fs20\cf9\insrsid11615661\charrsid4593153 &lt;TitreJust&gt;}{\rtlch\fcs1 \af0 \ltrch\fcs0 \insrsid11615661\charrsid4593153 [ZJUSTIFICATION]}{\rtlch\fcs1 \af0 \ltrch\fcs0 _x000d__x000a_\cs15\i0\v\f1\fs20\cf9\insrsid11615661\charrsid4593153 &lt;/TitreJust&gt;}{\rtlch\fcs1 \af0 \ltrch\fcs0 \insrsid11615661\charrsid4593153 _x000d__x000a_\par }\pard\plain \ltrpar\s18\ql \li0\ri0\sa240\nowidctlpar\wrapdefault\aspalpha\aspnum\faauto\adjustright\rin0\lin0\itap0\pararsid11615661 \rtlch\fcs1 \af0\afs20\alang1025 \ltrch\fcs0 \i\fs24\lang2057\langfe2057\cgrid\langnp2057\langfenp2057 {\rtlch\fcs1 _x000d__x000a_\af0 \ltrch\fcs0 \cs15\i0\v\f1\fs20\cf9\insrsid11615661\charrsid4593153 &lt;OptDelPrev&gt;}{\rtlch\fcs1 \af0 \ltrch\fcs0 \insrsid11615661\charrsid4593153 [ZTEXTJUST]}{\rtlch\fcs1 \af0 \ltrch\fcs0 \cs15\i0\v\f1\fs20\cf9\insrsid11615661\charrsid4593153 _x000d__x000a_&lt;/OptDelPrev&gt;}{\rtlch\fcs1 \af0 \ltrch\fcs0 \insrsid11615661\charrsid4593153 _x000d__x000a_\par }\pard\plain \ltrpar\ql \li0\ri0\widctlpar\wrapdefault\aspalpha\aspnum\faauto\adjustright\rin0\lin0\itap0\pararsid11615661 \rtlch\fcs1 \af0\afs20\alang1025 \ltrch\fcs0 \fs24\lang2057\langfe2057\cgrid\langnp2057\langfenp2057 {\rtlch\fcs1 \af0 \ltrch\fcs0 _x000d__x000a_\cs15\v\f1\fs20\cf9\insrsid11615661\charrsid4593153 &lt;/Amend&gt;}{\rtlch\fcs1 \af0 \ltrch\fcs0 \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e070_x000d__x000a_25cecb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PR_COD_1amCom"/>
    <w:docVar w:name="strSubDir" w:val="1323"/>
    <w:docVar w:name="TVTACTPART" w:val="xx"/>
    <w:docVar w:name="TVTAMACTPART" w:val="xx"/>
    <w:docVar w:name="TXTLANGUE" w:val="EN"/>
    <w:docVar w:name="TXTLANGUEMIN" w:val="en"/>
    <w:docVar w:name="TXTNRC" w:val="0037/2025"/>
    <w:docVar w:name="TXTNRCOD" w:val="2025/0045"/>
    <w:docVar w:name="TXTNRCOM" w:val="(2025)0081"/>
    <w:docVar w:name="TXTNRDIR" w:val="xx"/>
    <w:docVar w:name="TXTNRFIRSTAM" w:val="1"/>
    <w:docVar w:name="TXTNRLASTAM" w:val="82"/>
    <w:docVar w:name="TXTNRPE" w:val="774.282"/>
    <w:docVar w:name="TXTPEorAP" w:val="PE"/>
    <w:docVar w:name="TXTROUTE" w:val="PR\1323000EN.docx"/>
    <w:docVar w:name="TXTTITLE" w:val="xxx"/>
    <w:docVar w:name="TXTVERSION" w:val="01-00"/>
  </w:docVars>
  <w:rsids>
    <w:rsidRoot w:val="00182896"/>
    <w:rsid w:val="00011AAB"/>
    <w:rsid w:val="00012351"/>
    <w:rsid w:val="000139E5"/>
    <w:rsid w:val="000211DB"/>
    <w:rsid w:val="000220B7"/>
    <w:rsid w:val="000522A6"/>
    <w:rsid w:val="00084DD2"/>
    <w:rsid w:val="00084E89"/>
    <w:rsid w:val="00086A52"/>
    <w:rsid w:val="0009011B"/>
    <w:rsid w:val="00096D4D"/>
    <w:rsid w:val="000B5CC7"/>
    <w:rsid w:val="000B62B6"/>
    <w:rsid w:val="000B7489"/>
    <w:rsid w:val="000E79F6"/>
    <w:rsid w:val="000F1096"/>
    <w:rsid w:val="00120948"/>
    <w:rsid w:val="00123DD5"/>
    <w:rsid w:val="001277AE"/>
    <w:rsid w:val="00134505"/>
    <w:rsid w:val="00142215"/>
    <w:rsid w:val="00161E9F"/>
    <w:rsid w:val="001767E2"/>
    <w:rsid w:val="00182896"/>
    <w:rsid w:val="00187008"/>
    <w:rsid w:val="001B3829"/>
    <w:rsid w:val="001C5592"/>
    <w:rsid w:val="001C5B44"/>
    <w:rsid w:val="001C6FFC"/>
    <w:rsid w:val="001F7C7C"/>
    <w:rsid w:val="00212B84"/>
    <w:rsid w:val="00224D74"/>
    <w:rsid w:val="002346B0"/>
    <w:rsid w:val="00234923"/>
    <w:rsid w:val="002667C3"/>
    <w:rsid w:val="002669B6"/>
    <w:rsid w:val="00290BED"/>
    <w:rsid w:val="002B12BF"/>
    <w:rsid w:val="002C6286"/>
    <w:rsid w:val="002D13EE"/>
    <w:rsid w:val="002D532E"/>
    <w:rsid w:val="002E33EE"/>
    <w:rsid w:val="002E73DB"/>
    <w:rsid w:val="002F40BB"/>
    <w:rsid w:val="002F4B02"/>
    <w:rsid w:val="00305CD9"/>
    <w:rsid w:val="00310AD4"/>
    <w:rsid w:val="00323EF8"/>
    <w:rsid w:val="003316DD"/>
    <w:rsid w:val="00351E0A"/>
    <w:rsid w:val="00366A46"/>
    <w:rsid w:val="00370AC3"/>
    <w:rsid w:val="003824EE"/>
    <w:rsid w:val="003946B2"/>
    <w:rsid w:val="003A6169"/>
    <w:rsid w:val="003B4689"/>
    <w:rsid w:val="003C2068"/>
    <w:rsid w:val="003C37CF"/>
    <w:rsid w:val="003C62C4"/>
    <w:rsid w:val="003D3B81"/>
    <w:rsid w:val="004100B1"/>
    <w:rsid w:val="00416C47"/>
    <w:rsid w:val="00417EB1"/>
    <w:rsid w:val="00426E47"/>
    <w:rsid w:val="00455743"/>
    <w:rsid w:val="00457382"/>
    <w:rsid w:val="00461601"/>
    <w:rsid w:val="004B1B9D"/>
    <w:rsid w:val="004C0385"/>
    <w:rsid w:val="004C0915"/>
    <w:rsid w:val="004D424E"/>
    <w:rsid w:val="004D521D"/>
    <w:rsid w:val="004D7AB7"/>
    <w:rsid w:val="004E42C8"/>
    <w:rsid w:val="004E733D"/>
    <w:rsid w:val="004F3FA5"/>
    <w:rsid w:val="0050055A"/>
    <w:rsid w:val="00500AB6"/>
    <w:rsid w:val="0051271F"/>
    <w:rsid w:val="00521F46"/>
    <w:rsid w:val="00532308"/>
    <w:rsid w:val="00551111"/>
    <w:rsid w:val="00551123"/>
    <w:rsid w:val="00570A6A"/>
    <w:rsid w:val="00586E50"/>
    <w:rsid w:val="00587B18"/>
    <w:rsid w:val="0059583D"/>
    <w:rsid w:val="005965BF"/>
    <w:rsid w:val="005A42D9"/>
    <w:rsid w:val="005C1A9F"/>
    <w:rsid w:val="005C2BEF"/>
    <w:rsid w:val="005D1A99"/>
    <w:rsid w:val="005D22A8"/>
    <w:rsid w:val="005D3964"/>
    <w:rsid w:val="005D7609"/>
    <w:rsid w:val="005D7EE8"/>
    <w:rsid w:val="005E1BFD"/>
    <w:rsid w:val="005F07D3"/>
    <w:rsid w:val="005F6A96"/>
    <w:rsid w:val="00621DC6"/>
    <w:rsid w:val="00623E1D"/>
    <w:rsid w:val="0062623F"/>
    <w:rsid w:val="00642325"/>
    <w:rsid w:val="006710E7"/>
    <w:rsid w:val="006A06F5"/>
    <w:rsid w:val="006A2F5D"/>
    <w:rsid w:val="006D12C5"/>
    <w:rsid w:val="006D60AA"/>
    <w:rsid w:val="006E5C08"/>
    <w:rsid w:val="006F7907"/>
    <w:rsid w:val="00706FDD"/>
    <w:rsid w:val="00743189"/>
    <w:rsid w:val="00743D33"/>
    <w:rsid w:val="00756D44"/>
    <w:rsid w:val="00757323"/>
    <w:rsid w:val="00775E11"/>
    <w:rsid w:val="007932B3"/>
    <w:rsid w:val="00793EA9"/>
    <w:rsid w:val="007C3CBA"/>
    <w:rsid w:val="007C6F83"/>
    <w:rsid w:val="007D6F68"/>
    <w:rsid w:val="00817542"/>
    <w:rsid w:val="00823E6B"/>
    <w:rsid w:val="00826780"/>
    <w:rsid w:val="00837CCD"/>
    <w:rsid w:val="00850CE8"/>
    <w:rsid w:val="008633CC"/>
    <w:rsid w:val="00865190"/>
    <w:rsid w:val="008719B9"/>
    <w:rsid w:val="00874E14"/>
    <w:rsid w:val="008833EF"/>
    <w:rsid w:val="00884112"/>
    <w:rsid w:val="00894ECE"/>
    <w:rsid w:val="00896BB4"/>
    <w:rsid w:val="008A7FB8"/>
    <w:rsid w:val="008B5AB4"/>
    <w:rsid w:val="008C7353"/>
    <w:rsid w:val="009022B8"/>
    <w:rsid w:val="00914537"/>
    <w:rsid w:val="00914FD3"/>
    <w:rsid w:val="00917CC4"/>
    <w:rsid w:val="009239E8"/>
    <w:rsid w:val="00941D7C"/>
    <w:rsid w:val="00951774"/>
    <w:rsid w:val="00964AA9"/>
    <w:rsid w:val="00966AAE"/>
    <w:rsid w:val="009763DA"/>
    <w:rsid w:val="009975B3"/>
    <w:rsid w:val="009A1C93"/>
    <w:rsid w:val="009A216D"/>
    <w:rsid w:val="009B4B93"/>
    <w:rsid w:val="009D7CE2"/>
    <w:rsid w:val="009F24BE"/>
    <w:rsid w:val="009F3717"/>
    <w:rsid w:val="009F6C2F"/>
    <w:rsid w:val="009F767A"/>
    <w:rsid w:val="00A04B4C"/>
    <w:rsid w:val="00A14061"/>
    <w:rsid w:val="00A22533"/>
    <w:rsid w:val="00A26F46"/>
    <w:rsid w:val="00A34FD3"/>
    <w:rsid w:val="00A36929"/>
    <w:rsid w:val="00A50548"/>
    <w:rsid w:val="00A60EE7"/>
    <w:rsid w:val="00A727B8"/>
    <w:rsid w:val="00A84723"/>
    <w:rsid w:val="00A910C9"/>
    <w:rsid w:val="00A9193B"/>
    <w:rsid w:val="00AA35B0"/>
    <w:rsid w:val="00AD18C8"/>
    <w:rsid w:val="00AD3A5A"/>
    <w:rsid w:val="00AD7FA6"/>
    <w:rsid w:val="00AE4643"/>
    <w:rsid w:val="00AF0416"/>
    <w:rsid w:val="00AF782F"/>
    <w:rsid w:val="00B076A5"/>
    <w:rsid w:val="00B10CB4"/>
    <w:rsid w:val="00B13D6F"/>
    <w:rsid w:val="00B20556"/>
    <w:rsid w:val="00B23B72"/>
    <w:rsid w:val="00B35707"/>
    <w:rsid w:val="00B42702"/>
    <w:rsid w:val="00B57B8B"/>
    <w:rsid w:val="00B640FF"/>
    <w:rsid w:val="00B85407"/>
    <w:rsid w:val="00B95702"/>
    <w:rsid w:val="00BC2693"/>
    <w:rsid w:val="00BC6489"/>
    <w:rsid w:val="00BD480C"/>
    <w:rsid w:val="00BF5757"/>
    <w:rsid w:val="00C17054"/>
    <w:rsid w:val="00C20954"/>
    <w:rsid w:val="00C23324"/>
    <w:rsid w:val="00C33FF2"/>
    <w:rsid w:val="00C3542A"/>
    <w:rsid w:val="00C42A41"/>
    <w:rsid w:val="00C47E74"/>
    <w:rsid w:val="00C57A72"/>
    <w:rsid w:val="00C73602"/>
    <w:rsid w:val="00CA0655"/>
    <w:rsid w:val="00CA3579"/>
    <w:rsid w:val="00CC790A"/>
    <w:rsid w:val="00CD69A0"/>
    <w:rsid w:val="00CF60C8"/>
    <w:rsid w:val="00D0659F"/>
    <w:rsid w:val="00D30DE2"/>
    <w:rsid w:val="00D32924"/>
    <w:rsid w:val="00D503A3"/>
    <w:rsid w:val="00D71E2D"/>
    <w:rsid w:val="00DA6ED0"/>
    <w:rsid w:val="00DC5011"/>
    <w:rsid w:val="00DC6DAD"/>
    <w:rsid w:val="00DD0B81"/>
    <w:rsid w:val="00DF6901"/>
    <w:rsid w:val="00E07EC2"/>
    <w:rsid w:val="00E17194"/>
    <w:rsid w:val="00E171B6"/>
    <w:rsid w:val="00E33574"/>
    <w:rsid w:val="00E55BCD"/>
    <w:rsid w:val="00E719B6"/>
    <w:rsid w:val="00E72695"/>
    <w:rsid w:val="00E84907"/>
    <w:rsid w:val="00EB1753"/>
    <w:rsid w:val="00EB6CFF"/>
    <w:rsid w:val="00EE3996"/>
    <w:rsid w:val="00EE4038"/>
    <w:rsid w:val="00F00807"/>
    <w:rsid w:val="00F07062"/>
    <w:rsid w:val="00F0734F"/>
    <w:rsid w:val="00F129CE"/>
    <w:rsid w:val="00F165B7"/>
    <w:rsid w:val="00F16CA7"/>
    <w:rsid w:val="00F23CFC"/>
    <w:rsid w:val="00F433E2"/>
    <w:rsid w:val="00F471AB"/>
    <w:rsid w:val="00F71D39"/>
    <w:rsid w:val="00F904AE"/>
    <w:rsid w:val="00F934F8"/>
    <w:rsid w:val="00FB52FE"/>
    <w:rsid w:val="00FC0A34"/>
    <w:rsid w:val="00FD08F9"/>
    <w:rsid w:val="00FD1DEF"/>
    <w:rsid w:val="00FE3B3F"/>
    <w:rsid w:val="00FF4D1D"/>
  </w:rsids>
  <m:mathPr>
    <m:mathFont m:val="Cambria Math"/>
    <m:brkBin m:val="before"/>
    <m:brkBinSub m:val="--"/>
    <m:smallFrac m:val="0"/>
    <m:dispDef/>
    <m:lMargin m:val="0"/>
    <m:rMargin m:val="0"/>
    <m:defJc m:val="centerGroup"/>
    <m:wrapIndent m:val="1440"/>
    <m:intLim m:val="subSup"/>
    <m:naryLim m:val="undOvr"/>
  </m:mathPr>
  <w:themeFontLang w:val="en-GB"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852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semiHidden="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3FA5"/>
    <w:pPr>
      <w:widowControl w:val="0"/>
    </w:pPr>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link w:val="berschrift2Zchn"/>
    <w:semiHidden/>
    <w:qFormat/>
    <w:pPr>
      <w:keepNext/>
      <w:spacing w:before="240" w:after="60"/>
      <w:outlineLvl w:val="1"/>
    </w:pPr>
    <w:rPr>
      <w:rFonts w:ascii="Arial" w:hAnsi="Arial"/>
      <w:b/>
      <w:i/>
    </w:rPr>
  </w:style>
  <w:style w:type="paragraph" w:styleId="berschrift3">
    <w:name w:val="heading 3"/>
    <w:basedOn w:val="Standard"/>
    <w:next w:val="Standard"/>
    <w:link w:val="berschrift3Zchn"/>
    <w:semiHidden/>
    <w:qFormat/>
    <w:pPr>
      <w:keepNext/>
      <w:spacing w:before="240" w:after="60"/>
      <w:outlineLvl w:val="2"/>
    </w:pPr>
    <w:rPr>
      <w:rFonts w:ascii="Arial" w:hAnsi="Arial"/>
    </w:rPr>
  </w:style>
  <w:style w:type="paragraph" w:styleId="berschrift4">
    <w:name w:val="heading 4"/>
    <w:basedOn w:val="Standard"/>
    <w:next w:val="Standard"/>
    <w:link w:val="berschrift4Zchn"/>
    <w:semiHidden/>
    <w:qFormat/>
    <w:pPr>
      <w:keepNext/>
      <w:spacing w:before="240" w:after="60"/>
      <w:outlineLvl w:val="3"/>
    </w:pPr>
    <w:rPr>
      <w:rFonts w:ascii="Arial" w:hAnsi="Arial"/>
      <w:b/>
    </w:rPr>
  </w:style>
  <w:style w:type="paragraph" w:styleId="berschrift5">
    <w:name w:val="heading 5"/>
    <w:basedOn w:val="Standard"/>
    <w:next w:val="Standard"/>
    <w:link w:val="berschrift5Zchn"/>
    <w:semiHidden/>
    <w:qFormat/>
    <w:pPr>
      <w:spacing w:before="240" w:after="60"/>
      <w:outlineLvl w:val="4"/>
    </w:pPr>
    <w:rPr>
      <w:sz w:val="22"/>
    </w:rPr>
  </w:style>
  <w:style w:type="paragraph" w:styleId="berschrift6">
    <w:name w:val="heading 6"/>
    <w:basedOn w:val="Standard"/>
    <w:next w:val="Standard"/>
    <w:link w:val="berschrift6Zchn"/>
    <w:semiHidden/>
    <w:qFormat/>
    <w:pPr>
      <w:spacing w:before="240" w:after="60"/>
      <w:outlineLvl w:val="5"/>
    </w:pPr>
    <w:rPr>
      <w:i/>
      <w:sz w:val="22"/>
    </w:rPr>
  </w:style>
  <w:style w:type="paragraph" w:styleId="berschrift7">
    <w:name w:val="heading 7"/>
    <w:basedOn w:val="Standard"/>
    <w:next w:val="Standard"/>
    <w:link w:val="berschrift7Zchn"/>
    <w:semiHidden/>
    <w:qFormat/>
    <w:pPr>
      <w:spacing w:before="240" w:after="60"/>
      <w:outlineLvl w:val="6"/>
    </w:pPr>
    <w:rPr>
      <w:rFonts w:ascii="Arial" w:hAnsi="Arial"/>
    </w:rPr>
  </w:style>
  <w:style w:type="paragraph" w:styleId="berschrift8">
    <w:name w:val="heading 8"/>
    <w:basedOn w:val="Standard"/>
    <w:next w:val="Standard"/>
    <w:link w:val="berschrift8Zchn"/>
    <w:semiHidden/>
    <w:qFormat/>
    <w:pPr>
      <w:spacing w:before="240" w:after="60"/>
      <w:outlineLvl w:val="7"/>
    </w:pPr>
    <w:rPr>
      <w:rFonts w:ascii="Arial" w:hAnsi="Arial"/>
      <w:i/>
    </w:rPr>
  </w:style>
  <w:style w:type="paragraph" w:styleId="berschrift9">
    <w:name w:val="heading 9"/>
    <w:basedOn w:val="Standard"/>
    <w:next w:val="Standard"/>
    <w:link w:val="berschrift9Zchn"/>
    <w:semiHidden/>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Standard"/>
    <w:next w:val="Standard"/>
    <w:pPr>
      <w:widowControl/>
      <w:tabs>
        <w:tab w:val="center" w:pos="4535"/>
        <w:tab w:val="right" w:pos="9921"/>
      </w:tabs>
      <w:ind w:left="-850" w:right="-850"/>
    </w:pPr>
    <w:rPr>
      <w:rFonts w:ascii="Arial" w:hAnsi="Arial" w:cs="Arial"/>
      <w:b/>
      <w:sz w:val="48"/>
    </w:rPr>
  </w:style>
  <w:style w:type="paragraph" w:styleId="Verzeichnis1">
    <w:name w:val="toc 1"/>
    <w:basedOn w:val="Standard"/>
    <w:next w:val="Standard"/>
    <w:autoRedefine/>
    <w:uiPriority w:val="39"/>
    <w:rsid w:val="00C23324"/>
    <w:pPr>
      <w:spacing w:after="240"/>
    </w:pPr>
  </w:style>
  <w:style w:type="paragraph" w:styleId="Inhaltsverzeichnisberschrift">
    <w:name w:val="TOC Heading"/>
    <w:basedOn w:val="Standard"/>
    <w:next w:val="TOCPage"/>
    <w:qFormat/>
    <w:pPr>
      <w:keepNext/>
      <w:spacing w:before="240" w:after="240"/>
      <w:jc w:val="center"/>
    </w:pPr>
    <w:rPr>
      <w:rFonts w:ascii="Arial" w:hAnsi="Arial"/>
      <w:b/>
    </w:rPr>
  </w:style>
  <w:style w:type="paragraph" w:customStyle="1" w:styleId="TOCPage">
    <w:name w:val="TOC Page"/>
    <w:basedOn w:val="Standard"/>
    <w:next w:val="Verzeichnis1"/>
    <w:pPr>
      <w:keepNext/>
      <w:spacing w:after="240"/>
      <w:jc w:val="right"/>
    </w:pPr>
    <w:rPr>
      <w:rFonts w:ascii="Arial" w:hAnsi="Arial"/>
      <w:b/>
    </w:rPr>
  </w:style>
  <w:style w:type="character" w:customStyle="1" w:styleId="HideTWBInt">
    <w:name w:val="HideTWBInt"/>
    <w:rPr>
      <w:rFonts w:ascii="Arial" w:hAnsi="Arial" w:cs="Arial"/>
      <w:vanish/>
      <w:color w:val="808080"/>
      <w:sz w:val="20"/>
    </w:rPr>
  </w:style>
  <w:style w:type="paragraph" w:customStyle="1" w:styleId="Normal6a">
    <w:name w:val="Normal6a"/>
    <w:basedOn w:val="Standard"/>
    <w:pPr>
      <w:spacing w:after="120"/>
    </w:pPr>
  </w:style>
  <w:style w:type="paragraph" w:customStyle="1" w:styleId="PageHeading">
    <w:name w:val="PageHeading"/>
    <w:basedOn w:val="Standard"/>
    <w:pPr>
      <w:keepNext/>
      <w:spacing w:after="480"/>
      <w:jc w:val="center"/>
    </w:pPr>
    <w:rPr>
      <w:rFonts w:ascii="Arial" w:hAnsi="Arial" w:cs="Arial"/>
      <w:b/>
    </w:rPr>
  </w:style>
  <w:style w:type="paragraph" w:customStyle="1" w:styleId="NormalBold">
    <w:name w:val="NormalBold"/>
    <w:basedOn w:val="Standard"/>
    <w:link w:val="NormalBoldChar"/>
    <w:rPr>
      <w:b/>
    </w:rPr>
  </w:style>
  <w:style w:type="character" w:customStyle="1" w:styleId="NormalBoldChar">
    <w:name w:val="NormalBold Char"/>
    <w:basedOn w:val="Absatz-Standardschriftart"/>
    <w:link w:val="NormalBold"/>
    <w:rsid w:val="002D532E"/>
    <w:rPr>
      <w:b/>
      <w:sz w:val="24"/>
    </w:rPr>
  </w:style>
  <w:style w:type="paragraph" w:customStyle="1" w:styleId="NormalBold12a">
    <w:name w:val="NormalBold12a"/>
    <w:basedOn w:val="Standard"/>
    <w:pPr>
      <w:spacing w:after="240"/>
    </w:pPr>
    <w:rPr>
      <w:b/>
    </w:rPr>
  </w:style>
  <w:style w:type="paragraph" w:customStyle="1" w:styleId="AmJustText">
    <w:name w:val="AmJustText"/>
    <w:basedOn w:val="Standard"/>
    <w:pPr>
      <w:spacing w:after="240"/>
    </w:pPr>
    <w:rPr>
      <w:i/>
    </w:rPr>
  </w:style>
  <w:style w:type="paragraph" w:customStyle="1" w:styleId="NormalHanging12a">
    <w:name w:val="NormalHanging12a"/>
    <w:basedOn w:val="Standard"/>
    <w:pPr>
      <w:spacing w:after="240"/>
      <w:ind w:left="567" w:hanging="567"/>
    </w:pPr>
  </w:style>
  <w:style w:type="paragraph" w:customStyle="1" w:styleId="EPName">
    <w:name w:val="EPName"/>
    <w:basedOn w:val="Standard"/>
    <w:rsid w:val="006F7907"/>
    <w:pPr>
      <w:spacing w:before="80" w:after="80"/>
    </w:pPr>
    <w:rPr>
      <w:rFonts w:ascii="Arial Narrow" w:hAnsi="Arial Narrow" w:cs="Arial"/>
      <w:b/>
      <w:sz w:val="32"/>
      <w:szCs w:val="22"/>
    </w:rPr>
  </w:style>
  <w:style w:type="paragraph" w:customStyle="1" w:styleId="CoverNormal24a">
    <w:name w:val="CoverNormal24a"/>
    <w:basedOn w:val="Standard"/>
    <w:rsid w:val="00F07062"/>
    <w:pPr>
      <w:spacing w:after="480"/>
      <w:ind w:left="1417"/>
    </w:pPr>
  </w:style>
  <w:style w:type="paragraph" w:customStyle="1" w:styleId="CoverNormal">
    <w:name w:val="CoverNormal"/>
    <w:basedOn w:val="Standard"/>
    <w:pPr>
      <w:ind w:left="1418"/>
    </w:pPr>
  </w:style>
  <w:style w:type="paragraph" w:customStyle="1" w:styleId="AmCrossRef">
    <w:name w:val="AmCrossRef"/>
    <w:basedOn w:val="Standard"/>
    <w:rsid w:val="00DA6ED0"/>
    <w:pPr>
      <w:spacing w:before="240" w:after="240"/>
      <w:jc w:val="center"/>
    </w:pPr>
    <w:rPr>
      <w:i/>
    </w:rPr>
  </w:style>
  <w:style w:type="paragraph" w:customStyle="1" w:styleId="AmJustTitle">
    <w:name w:val="AmJustTitle"/>
    <w:basedOn w:val="Standard"/>
    <w:next w:val="AmJustText"/>
    <w:pPr>
      <w:keepNext/>
      <w:spacing w:before="240" w:after="240"/>
      <w:jc w:val="center"/>
    </w:pPr>
    <w:rPr>
      <w:i/>
    </w:rPr>
  </w:style>
  <w:style w:type="paragraph" w:customStyle="1" w:styleId="CoverReference">
    <w:name w:val="CoverReference"/>
    <w:basedOn w:val="Standard"/>
    <w:rsid w:val="004E733D"/>
    <w:pPr>
      <w:spacing w:before="1080"/>
      <w:jc w:val="right"/>
    </w:pPr>
    <w:rPr>
      <w:rFonts w:ascii="Arial" w:hAnsi="Arial" w:cs="Arial"/>
      <w:b/>
    </w:rPr>
  </w:style>
  <w:style w:type="paragraph" w:customStyle="1" w:styleId="CoverDocType">
    <w:name w:val="CoverDocType"/>
    <w:basedOn w:val="Standard"/>
    <w:pPr>
      <w:ind w:left="1418"/>
    </w:pPr>
    <w:rPr>
      <w:rFonts w:ascii="Arial" w:hAnsi="Arial"/>
      <w:b/>
      <w:sz w:val="48"/>
    </w:rPr>
  </w:style>
  <w:style w:type="paragraph" w:customStyle="1" w:styleId="CoverDocType24a">
    <w:name w:val="CoverDocType24a"/>
    <w:basedOn w:val="Standard"/>
    <w:rsid w:val="00F07062"/>
    <w:pPr>
      <w:spacing w:after="480"/>
      <w:ind w:left="1418"/>
    </w:pPr>
    <w:rPr>
      <w:rFonts w:ascii="Arial" w:hAnsi="Arial"/>
      <w:b/>
      <w:sz w:val="48"/>
    </w:rPr>
  </w:style>
  <w:style w:type="paragraph" w:customStyle="1" w:styleId="CoverDate">
    <w:name w:val="CoverDate"/>
    <w:basedOn w:val="Standard"/>
    <w:pPr>
      <w:spacing w:before="240" w:after="1200"/>
    </w:pPr>
  </w:style>
  <w:style w:type="paragraph" w:styleId="Kopfzeile">
    <w:name w:val="header"/>
    <w:basedOn w:val="Standard"/>
    <w:link w:val="KopfzeileZchn"/>
    <w:semiHidden/>
    <w:rsid w:val="00F23CFC"/>
    <w:pPr>
      <w:tabs>
        <w:tab w:val="center" w:pos="4513"/>
        <w:tab w:val="right" w:pos="9026"/>
      </w:tabs>
    </w:pPr>
  </w:style>
  <w:style w:type="character" w:customStyle="1" w:styleId="KopfzeileZchn">
    <w:name w:val="Kopfzeile Zchn"/>
    <w:basedOn w:val="Absatz-Standardschriftart"/>
    <w:link w:val="Kopfzeile"/>
    <w:semiHidden/>
    <w:rsid w:val="00F23CFC"/>
    <w:rPr>
      <w:sz w:val="24"/>
    </w:rPr>
  </w:style>
  <w:style w:type="paragraph" w:customStyle="1" w:styleId="AmOrLang">
    <w:name w:val="AmOrLang"/>
    <w:basedOn w:val="Standard"/>
    <w:rsid w:val="002669B6"/>
    <w:pPr>
      <w:spacing w:before="240" w:after="240"/>
      <w:jc w:val="right"/>
    </w:pPr>
  </w:style>
  <w:style w:type="paragraph" w:customStyle="1" w:styleId="AmColumnHeading">
    <w:name w:val="AmColumnHeading"/>
    <w:basedOn w:val="Standard"/>
    <w:rsid w:val="002669B6"/>
    <w:pPr>
      <w:spacing w:after="240"/>
      <w:jc w:val="center"/>
    </w:pPr>
    <w:rPr>
      <w:i/>
    </w:rPr>
  </w:style>
  <w:style w:type="table" w:styleId="Tabellenraster">
    <w:name w:val="Table Grid"/>
    <w:basedOn w:val="NormaleTabelle"/>
    <w:rsid w:val="0046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NumberTabs">
    <w:name w:val="AmNumberTabs"/>
    <w:basedOn w:val="Standard"/>
    <w:rsid w:val="004C0915"/>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Standard"/>
    <w:rsid w:val="004C0915"/>
    <w:pPr>
      <w:spacing w:before="240"/>
    </w:pPr>
    <w:rPr>
      <w:b/>
    </w:rPr>
  </w:style>
  <w:style w:type="paragraph" w:customStyle="1" w:styleId="EPBody">
    <w:name w:val="EPBody"/>
    <w:basedOn w:val="Standard"/>
    <w:rsid w:val="00461601"/>
    <w:pPr>
      <w:jc w:val="center"/>
    </w:pPr>
    <w:rPr>
      <w:rFonts w:ascii="Arial" w:hAnsi="Arial" w:cs="Arial"/>
      <w:i/>
      <w:sz w:val="22"/>
      <w:szCs w:val="22"/>
    </w:rPr>
  </w:style>
  <w:style w:type="paragraph" w:customStyle="1" w:styleId="LineTop">
    <w:name w:val="LineTop"/>
    <w:basedOn w:val="Standard"/>
    <w:next w:val="Standard"/>
    <w:rsid w:val="00461601"/>
    <w:pPr>
      <w:pBdr>
        <w:top w:val="single" w:sz="4" w:space="1" w:color="auto"/>
      </w:pBdr>
      <w:jc w:val="center"/>
    </w:pPr>
    <w:rPr>
      <w:rFonts w:ascii="Arial" w:hAnsi="Arial" w:cs="Arial"/>
      <w:sz w:val="16"/>
      <w:szCs w:val="16"/>
    </w:rPr>
  </w:style>
  <w:style w:type="paragraph" w:customStyle="1" w:styleId="LineBottom">
    <w:name w:val="LineBottom"/>
    <w:basedOn w:val="Standard"/>
    <w:next w:val="Standard"/>
    <w:rsid w:val="00461601"/>
    <w:pPr>
      <w:pBdr>
        <w:bottom w:val="single" w:sz="4" w:space="1" w:color="auto"/>
      </w:pBdr>
      <w:spacing w:after="240"/>
      <w:jc w:val="center"/>
    </w:pPr>
    <w:rPr>
      <w:rFonts w:ascii="Arial" w:hAnsi="Arial" w:cs="Arial"/>
      <w:sz w:val="16"/>
      <w:szCs w:val="16"/>
    </w:rPr>
  </w:style>
  <w:style w:type="paragraph" w:customStyle="1" w:styleId="EPTerm">
    <w:name w:val="EPTerm"/>
    <w:basedOn w:val="Standard"/>
    <w:next w:val="Standard"/>
    <w:rsid w:val="006F7907"/>
    <w:pPr>
      <w:spacing w:after="80"/>
    </w:pPr>
    <w:rPr>
      <w:rFonts w:ascii="Arial" w:hAnsi="Arial" w:cs="Arial"/>
      <w:sz w:val="20"/>
      <w:szCs w:val="22"/>
    </w:rPr>
  </w:style>
  <w:style w:type="paragraph" w:customStyle="1" w:styleId="EPLogo">
    <w:name w:val="EPLogo"/>
    <w:basedOn w:val="Standard"/>
    <w:qFormat/>
    <w:rsid w:val="006F7907"/>
    <w:pPr>
      <w:jc w:val="right"/>
    </w:pPr>
  </w:style>
  <w:style w:type="paragraph" w:customStyle="1" w:styleId="EPFooter">
    <w:name w:val="EPFooter"/>
    <w:basedOn w:val="Standard"/>
    <w:rsid w:val="00F07062"/>
    <w:pPr>
      <w:tabs>
        <w:tab w:val="center" w:pos="4535"/>
        <w:tab w:val="right" w:pos="9071"/>
      </w:tabs>
      <w:spacing w:before="240" w:after="240"/>
    </w:pPr>
    <w:rPr>
      <w:color w:val="010000"/>
      <w:sz w:val="22"/>
    </w:rPr>
  </w:style>
  <w:style w:type="character" w:styleId="Seitenzahl">
    <w:name w:val="page number"/>
    <w:basedOn w:val="Absatz-Standardschriftart"/>
    <w:semiHidden/>
    <w:rsid w:val="00914537"/>
  </w:style>
  <w:style w:type="paragraph" w:customStyle="1" w:styleId="EPComma">
    <w:name w:val="EPComma"/>
    <w:basedOn w:val="Standard"/>
    <w:rsid w:val="00A910C9"/>
    <w:pPr>
      <w:spacing w:before="480" w:after="240"/>
    </w:pPr>
  </w:style>
  <w:style w:type="paragraph" w:customStyle="1" w:styleId="Lgendesigne">
    <w:name w:val="Légende signe"/>
    <w:basedOn w:val="Standard"/>
    <w:rsid w:val="000220B7"/>
    <w:pPr>
      <w:tabs>
        <w:tab w:val="right" w:pos="454"/>
        <w:tab w:val="left" w:pos="737"/>
      </w:tabs>
      <w:ind w:left="737" w:hanging="737"/>
    </w:pPr>
    <w:rPr>
      <w:snapToGrid w:val="0"/>
      <w:sz w:val="18"/>
      <w:lang w:eastAsia="en-US"/>
    </w:rPr>
  </w:style>
  <w:style w:type="paragraph" w:customStyle="1" w:styleId="Lgendetitre">
    <w:name w:val="Légende titre"/>
    <w:basedOn w:val="Standard"/>
    <w:rsid w:val="000220B7"/>
    <w:pPr>
      <w:spacing w:before="240" w:after="240"/>
    </w:pPr>
    <w:rPr>
      <w:b/>
      <w:i/>
      <w:snapToGrid w:val="0"/>
      <w:lang w:eastAsia="en-US"/>
    </w:rPr>
  </w:style>
  <w:style w:type="paragraph" w:customStyle="1" w:styleId="Lgendestandard">
    <w:name w:val="Légende standard"/>
    <w:basedOn w:val="Standard"/>
    <w:rsid w:val="000220B7"/>
    <w:rPr>
      <w:sz w:val="18"/>
    </w:rPr>
  </w:style>
  <w:style w:type="paragraph" w:customStyle="1" w:styleId="EntPE">
    <w:name w:val="EntPE"/>
    <w:basedOn w:val="Normal12"/>
    <w:rsid w:val="002D532E"/>
    <w:pPr>
      <w:jc w:val="center"/>
    </w:pPr>
    <w:rPr>
      <w:noProof w:val="0"/>
      <w:sz w:val="56"/>
    </w:rPr>
  </w:style>
  <w:style w:type="paragraph" w:customStyle="1" w:styleId="Normal12">
    <w:name w:val="Normal12"/>
    <w:basedOn w:val="Standard"/>
    <w:link w:val="Normal12Char"/>
    <w:rsid w:val="002D532E"/>
    <w:pPr>
      <w:spacing w:after="240"/>
    </w:pPr>
    <w:rPr>
      <w:noProof/>
    </w:rPr>
  </w:style>
  <w:style w:type="character" w:customStyle="1" w:styleId="Normal12Char">
    <w:name w:val="Normal12 Char"/>
    <w:basedOn w:val="Absatz-Standardschriftart"/>
    <w:link w:val="Normal12"/>
    <w:locked/>
    <w:rsid w:val="002D532E"/>
    <w:rPr>
      <w:noProof/>
      <w:sz w:val="24"/>
    </w:rPr>
  </w:style>
  <w:style w:type="paragraph" w:customStyle="1" w:styleId="CommitteeAM">
    <w:name w:val="CommitteeAM"/>
    <w:basedOn w:val="Standard"/>
    <w:rsid w:val="002D532E"/>
    <w:pPr>
      <w:spacing w:before="240" w:after="600"/>
      <w:jc w:val="center"/>
    </w:pPr>
    <w:rPr>
      <w:i/>
    </w:rPr>
  </w:style>
  <w:style w:type="paragraph" w:customStyle="1" w:styleId="ZDateAM">
    <w:name w:val="ZDateAM"/>
    <w:basedOn w:val="Standard"/>
    <w:rsid w:val="002D532E"/>
    <w:pPr>
      <w:tabs>
        <w:tab w:val="right" w:pos="9356"/>
      </w:tabs>
      <w:spacing w:after="480"/>
    </w:pPr>
    <w:rPr>
      <w:noProof/>
    </w:rPr>
  </w:style>
  <w:style w:type="paragraph" w:customStyle="1" w:styleId="ProjRap">
    <w:name w:val="ProjRap"/>
    <w:basedOn w:val="Standard"/>
    <w:rsid w:val="002D532E"/>
    <w:pPr>
      <w:tabs>
        <w:tab w:val="right" w:pos="9356"/>
      </w:tabs>
    </w:pPr>
    <w:rPr>
      <w:b/>
      <w:noProof/>
    </w:rPr>
  </w:style>
  <w:style w:type="paragraph" w:customStyle="1" w:styleId="PELeft">
    <w:name w:val="PELeft"/>
    <w:basedOn w:val="Standard"/>
    <w:rsid w:val="002D532E"/>
    <w:pPr>
      <w:spacing w:before="40" w:after="40"/>
    </w:pPr>
    <w:rPr>
      <w:rFonts w:ascii="Arial" w:hAnsi="Arial" w:cs="Arial"/>
      <w:sz w:val="22"/>
      <w:szCs w:val="22"/>
      <w:lang w:val="fr-FR"/>
    </w:rPr>
  </w:style>
  <w:style w:type="paragraph" w:customStyle="1" w:styleId="PERight">
    <w:name w:val="PERight"/>
    <w:basedOn w:val="Standard"/>
    <w:next w:val="Standard"/>
    <w:rsid w:val="002D532E"/>
    <w:pPr>
      <w:jc w:val="right"/>
    </w:pPr>
    <w:rPr>
      <w:rFonts w:ascii="Arial" w:hAnsi="Arial" w:cs="Arial"/>
      <w:sz w:val="22"/>
      <w:szCs w:val="22"/>
      <w:lang w:val="fr-FR"/>
    </w:rPr>
  </w:style>
  <w:style w:type="paragraph" w:customStyle="1" w:styleId="Normal6">
    <w:name w:val="Normal6"/>
    <w:basedOn w:val="Standard"/>
    <w:link w:val="Normal6Char"/>
    <w:rsid w:val="002D532E"/>
    <w:pPr>
      <w:spacing w:after="120"/>
    </w:pPr>
    <w:rPr>
      <w:lang w:val="fr-FR"/>
    </w:rPr>
  </w:style>
  <w:style w:type="character" w:customStyle="1" w:styleId="Normal6Char">
    <w:name w:val="Normal6 Char"/>
    <w:basedOn w:val="Absatz-Standardschriftart"/>
    <w:link w:val="Normal6"/>
    <w:rsid w:val="002D532E"/>
    <w:rPr>
      <w:sz w:val="24"/>
      <w:lang w:val="fr-FR"/>
    </w:rPr>
  </w:style>
  <w:style w:type="paragraph" w:customStyle="1" w:styleId="Normal12Italic">
    <w:name w:val="Normal12Italic"/>
    <w:basedOn w:val="Normal12"/>
    <w:rsid w:val="002D532E"/>
    <w:rPr>
      <w:i/>
      <w:lang w:val="fr-FR"/>
    </w:rPr>
  </w:style>
  <w:style w:type="paragraph" w:customStyle="1" w:styleId="JustificationTitle">
    <w:name w:val="JustificationTitle"/>
    <w:basedOn w:val="Standard"/>
    <w:next w:val="Normal12"/>
    <w:rsid w:val="002D532E"/>
    <w:pPr>
      <w:keepNext/>
      <w:spacing w:before="240" w:after="240"/>
      <w:jc w:val="center"/>
    </w:pPr>
    <w:rPr>
      <w:i/>
      <w:noProof/>
      <w:lang w:val="fr-FR"/>
    </w:rPr>
  </w:style>
  <w:style w:type="paragraph" w:customStyle="1" w:styleId="Olang">
    <w:name w:val="Olang"/>
    <w:basedOn w:val="Standard"/>
    <w:rsid w:val="002D532E"/>
    <w:pPr>
      <w:spacing w:before="240" w:after="240"/>
      <w:jc w:val="right"/>
    </w:pPr>
    <w:rPr>
      <w:noProof/>
      <w:szCs w:val="24"/>
      <w:lang w:val="fr-FR"/>
    </w:rPr>
  </w:style>
  <w:style w:type="paragraph" w:customStyle="1" w:styleId="ColumnHeading">
    <w:name w:val="ColumnHeading"/>
    <w:basedOn w:val="Standard"/>
    <w:rsid w:val="002D532E"/>
    <w:pPr>
      <w:spacing w:after="240"/>
      <w:jc w:val="center"/>
    </w:pPr>
    <w:rPr>
      <w:i/>
      <w:lang w:val="fr-FR"/>
    </w:rPr>
  </w:style>
  <w:style w:type="paragraph" w:customStyle="1" w:styleId="AMNumberTabs0">
    <w:name w:val="AMNumberTabs"/>
    <w:basedOn w:val="Standard"/>
    <w:rsid w:val="002D532E"/>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lang w:val="fr-FR"/>
    </w:rPr>
  </w:style>
  <w:style w:type="paragraph" w:customStyle="1" w:styleId="CrossRef">
    <w:name w:val="CrossRef"/>
    <w:basedOn w:val="Standard"/>
    <w:rsid w:val="002D532E"/>
    <w:pPr>
      <w:spacing w:before="240"/>
      <w:jc w:val="center"/>
    </w:pPr>
    <w:rPr>
      <w:i/>
      <w:lang w:val="fr-FR"/>
    </w:rPr>
  </w:style>
  <w:style w:type="paragraph" w:styleId="Fuzeile">
    <w:name w:val="footer"/>
    <w:link w:val="FuzeileZchn"/>
    <w:rsid w:val="002D532E"/>
    <w:pPr>
      <w:tabs>
        <w:tab w:val="center" w:pos="4536"/>
        <w:tab w:val="right" w:pos="9072"/>
      </w:tabs>
      <w:spacing w:before="240" w:after="240" w:line="221" w:lineRule="auto"/>
    </w:pPr>
    <w:rPr>
      <w:sz w:val="22"/>
    </w:rPr>
  </w:style>
  <w:style w:type="character" w:customStyle="1" w:styleId="FuzeileZchn">
    <w:name w:val="Fußzeile Zchn"/>
    <w:basedOn w:val="Absatz-Standardschriftart"/>
    <w:link w:val="Fuzeile"/>
    <w:rsid w:val="002D532E"/>
    <w:rPr>
      <w:sz w:val="22"/>
    </w:rPr>
  </w:style>
  <w:style w:type="paragraph" w:customStyle="1" w:styleId="Footer2">
    <w:name w:val="Footer2"/>
    <w:basedOn w:val="Normal12"/>
    <w:rsid w:val="002D532E"/>
    <w:pPr>
      <w:tabs>
        <w:tab w:val="center" w:pos="4535"/>
        <w:tab w:val="right" w:pos="9923"/>
      </w:tabs>
      <w:spacing w:line="480" w:lineRule="auto"/>
      <w:ind w:left="-851"/>
    </w:pPr>
    <w:rPr>
      <w:rFonts w:ascii="Arial" w:cs="Arial"/>
      <w:b/>
      <w:sz w:val="48"/>
    </w:rPr>
  </w:style>
  <w:style w:type="character" w:customStyle="1" w:styleId="Footer2Middle">
    <w:name w:val="Footer2Middle"/>
    <w:rsid w:val="002D532E"/>
    <w:rPr>
      <w:rFonts w:ascii="Arial" w:cs="Arial"/>
      <w:b w:val="0"/>
      <w:i/>
      <w:color w:val="C0C0C0"/>
      <w:sz w:val="22"/>
    </w:rPr>
  </w:style>
  <w:style w:type="paragraph" w:styleId="Kommentartext">
    <w:name w:val="annotation text"/>
    <w:basedOn w:val="Standard"/>
    <w:link w:val="KommentartextZchn"/>
    <w:unhideWhenUsed/>
    <w:rsid w:val="00E07EC2"/>
    <w:pPr>
      <w:widowControl/>
      <w:spacing w:before="120" w:after="120"/>
      <w:jc w:val="both"/>
    </w:pPr>
    <w:rPr>
      <w:sz w:val="20"/>
      <w:lang w:val="fr-FR"/>
    </w:rPr>
  </w:style>
  <w:style w:type="character" w:customStyle="1" w:styleId="KommentartextZchn">
    <w:name w:val="Kommentartext Zchn"/>
    <w:basedOn w:val="Absatz-Standardschriftart"/>
    <w:link w:val="Kommentartext"/>
    <w:rsid w:val="00E07EC2"/>
    <w:rPr>
      <w:lang w:val="fr-FR"/>
    </w:rPr>
  </w:style>
  <w:style w:type="character" w:styleId="Kommentarzeichen">
    <w:name w:val="annotation reference"/>
    <w:unhideWhenUsed/>
    <w:rsid w:val="00E07EC2"/>
    <w:rPr>
      <w:rFonts w:ascii="Times New Roman" w:hAnsi="Times New Roman" w:cs="Times New Roman" w:hint="default"/>
      <w:sz w:val="16"/>
      <w:szCs w:val="16"/>
    </w:rPr>
  </w:style>
  <w:style w:type="character" w:styleId="Hyperlink">
    <w:name w:val="Hyperlink"/>
    <w:basedOn w:val="Absatz-Standardschriftart"/>
    <w:uiPriority w:val="99"/>
    <w:unhideWhenUsed/>
    <w:rsid w:val="00E07EC2"/>
    <w:rPr>
      <w:color w:val="0000FF"/>
      <w:u w:val="single"/>
    </w:rPr>
  </w:style>
  <w:style w:type="paragraph" w:styleId="Sprechblasentext">
    <w:name w:val="Balloon Text"/>
    <w:basedOn w:val="Standard"/>
    <w:link w:val="SprechblasentextZchn"/>
    <w:semiHidden/>
    <w:unhideWhenUsed/>
    <w:rsid w:val="00E07EC2"/>
    <w:rPr>
      <w:rFonts w:ascii="Segoe UI" w:hAnsi="Segoe UI" w:cs="Segoe UI"/>
      <w:sz w:val="18"/>
      <w:szCs w:val="18"/>
    </w:rPr>
  </w:style>
  <w:style w:type="character" w:customStyle="1" w:styleId="SprechblasentextZchn">
    <w:name w:val="Sprechblasentext Zchn"/>
    <w:basedOn w:val="Absatz-Standardschriftart"/>
    <w:link w:val="Sprechblasentext"/>
    <w:semiHidden/>
    <w:rsid w:val="00E07EC2"/>
    <w:rPr>
      <w:rFonts w:ascii="Segoe UI" w:hAnsi="Segoe UI" w:cs="Segoe UI"/>
      <w:sz w:val="18"/>
      <w:szCs w:val="18"/>
    </w:rPr>
  </w:style>
  <w:style w:type="character" w:customStyle="1" w:styleId="highlight-diff">
    <w:name w:val="highlight-diff"/>
    <w:basedOn w:val="Absatz-Standardschriftart"/>
    <w:rsid w:val="00FD08F9"/>
  </w:style>
  <w:style w:type="character" w:customStyle="1" w:styleId="berschrift1Zchn">
    <w:name w:val="Überschrift 1 Zchn"/>
    <w:basedOn w:val="Absatz-Standardschriftart"/>
    <w:link w:val="berschrift1"/>
    <w:rsid w:val="00CD69A0"/>
    <w:rPr>
      <w:rFonts w:ascii="Arial" w:hAnsi="Arial"/>
      <w:b/>
      <w:kern w:val="28"/>
      <w:sz w:val="28"/>
    </w:rPr>
  </w:style>
  <w:style w:type="character" w:customStyle="1" w:styleId="berschrift2Zchn">
    <w:name w:val="Überschrift 2 Zchn"/>
    <w:basedOn w:val="Absatz-Standardschriftart"/>
    <w:link w:val="berschrift2"/>
    <w:semiHidden/>
    <w:rsid w:val="00CD69A0"/>
    <w:rPr>
      <w:rFonts w:ascii="Arial" w:hAnsi="Arial"/>
      <w:b/>
      <w:i/>
      <w:sz w:val="24"/>
    </w:rPr>
  </w:style>
  <w:style w:type="character" w:customStyle="1" w:styleId="berschrift3Zchn">
    <w:name w:val="Überschrift 3 Zchn"/>
    <w:basedOn w:val="Absatz-Standardschriftart"/>
    <w:link w:val="berschrift3"/>
    <w:semiHidden/>
    <w:rsid w:val="00CD69A0"/>
    <w:rPr>
      <w:rFonts w:ascii="Arial" w:hAnsi="Arial"/>
      <w:sz w:val="24"/>
    </w:rPr>
  </w:style>
  <w:style w:type="character" w:customStyle="1" w:styleId="berschrift4Zchn">
    <w:name w:val="Überschrift 4 Zchn"/>
    <w:basedOn w:val="Absatz-Standardschriftart"/>
    <w:link w:val="berschrift4"/>
    <w:semiHidden/>
    <w:rsid w:val="00CD69A0"/>
    <w:rPr>
      <w:rFonts w:ascii="Arial" w:hAnsi="Arial"/>
      <w:b/>
      <w:sz w:val="24"/>
    </w:rPr>
  </w:style>
  <w:style w:type="character" w:customStyle="1" w:styleId="berschrift5Zchn">
    <w:name w:val="Überschrift 5 Zchn"/>
    <w:basedOn w:val="Absatz-Standardschriftart"/>
    <w:link w:val="berschrift5"/>
    <w:semiHidden/>
    <w:rsid w:val="00CD69A0"/>
    <w:rPr>
      <w:sz w:val="22"/>
    </w:rPr>
  </w:style>
  <w:style w:type="character" w:customStyle="1" w:styleId="berschrift6Zchn">
    <w:name w:val="Überschrift 6 Zchn"/>
    <w:basedOn w:val="Absatz-Standardschriftart"/>
    <w:link w:val="berschrift6"/>
    <w:semiHidden/>
    <w:rsid w:val="00CD69A0"/>
    <w:rPr>
      <w:i/>
      <w:sz w:val="22"/>
    </w:rPr>
  </w:style>
  <w:style w:type="character" w:customStyle="1" w:styleId="berschrift7Zchn">
    <w:name w:val="Überschrift 7 Zchn"/>
    <w:basedOn w:val="Absatz-Standardschriftart"/>
    <w:link w:val="berschrift7"/>
    <w:semiHidden/>
    <w:rsid w:val="00CD69A0"/>
    <w:rPr>
      <w:rFonts w:ascii="Arial" w:hAnsi="Arial"/>
      <w:sz w:val="24"/>
    </w:rPr>
  </w:style>
  <w:style w:type="character" w:customStyle="1" w:styleId="berschrift8Zchn">
    <w:name w:val="Überschrift 8 Zchn"/>
    <w:basedOn w:val="Absatz-Standardschriftart"/>
    <w:link w:val="berschrift8"/>
    <w:semiHidden/>
    <w:rsid w:val="00CD69A0"/>
    <w:rPr>
      <w:rFonts w:ascii="Arial" w:hAnsi="Arial"/>
      <w:i/>
      <w:sz w:val="24"/>
    </w:rPr>
  </w:style>
  <w:style w:type="character" w:customStyle="1" w:styleId="berschrift9Zchn">
    <w:name w:val="Überschrift 9 Zchn"/>
    <w:basedOn w:val="Absatz-Standardschriftart"/>
    <w:link w:val="berschrift9"/>
    <w:semiHidden/>
    <w:rsid w:val="00CD69A0"/>
    <w:rPr>
      <w:rFonts w:ascii="Arial" w:hAnsi="Arial"/>
      <w:b/>
      <w:i/>
      <w:sz w:val="18"/>
    </w:rPr>
  </w:style>
  <w:style w:type="character" w:styleId="BesuchterLink">
    <w:name w:val="FollowedHyperlink"/>
    <w:basedOn w:val="Absatz-Standardschriftart"/>
    <w:uiPriority w:val="99"/>
    <w:unhideWhenUsed/>
    <w:rsid w:val="00CD69A0"/>
    <w:rPr>
      <w:color w:val="954F72" w:themeColor="followedHyperlink"/>
      <w:u w:val="single"/>
    </w:rPr>
  </w:style>
  <w:style w:type="paragraph" w:customStyle="1" w:styleId="msonormal0">
    <w:name w:val="msonormal"/>
    <w:basedOn w:val="Standard"/>
    <w:rsid w:val="00CD69A0"/>
    <w:pPr>
      <w:widowControl/>
      <w:spacing w:before="100" w:beforeAutospacing="1" w:after="100" w:afterAutospacing="1"/>
    </w:pPr>
    <w:rPr>
      <w:szCs w:val="24"/>
    </w:rPr>
  </w:style>
  <w:style w:type="paragraph" w:styleId="Kommentarthema">
    <w:name w:val="annotation subject"/>
    <w:basedOn w:val="Kommentartext"/>
    <w:next w:val="Kommentartext"/>
    <w:link w:val="KommentarthemaZchn"/>
    <w:semiHidden/>
    <w:unhideWhenUsed/>
    <w:rsid w:val="00CD69A0"/>
    <w:pPr>
      <w:widowControl w:val="0"/>
      <w:spacing w:before="0" w:after="0"/>
      <w:jc w:val="left"/>
    </w:pPr>
    <w:rPr>
      <w:b/>
      <w:bCs/>
      <w:lang w:val="en-GB"/>
    </w:rPr>
  </w:style>
  <w:style w:type="character" w:customStyle="1" w:styleId="KommentarthemaZchn">
    <w:name w:val="Kommentarthema Zchn"/>
    <w:basedOn w:val="KommentartextZchn"/>
    <w:link w:val="Kommentarthema"/>
    <w:semiHidden/>
    <w:rsid w:val="00CD69A0"/>
    <w:rPr>
      <w:b/>
      <w:bCs/>
      <w:lang w:val="fr-FR"/>
    </w:rPr>
  </w:style>
  <w:style w:type="paragraph" w:styleId="berarbeitung">
    <w:name w:val="Revision"/>
    <w:uiPriority w:val="99"/>
    <w:semiHidden/>
    <w:rsid w:val="00EE4038"/>
    <w:rPr>
      <w:sz w:val="24"/>
    </w:rPr>
  </w:style>
  <w:style w:type="character" w:styleId="Hervorhebung">
    <w:name w:val="Emphasis"/>
    <w:basedOn w:val="Absatz-Standardschriftart"/>
    <w:uiPriority w:val="20"/>
    <w:qFormat/>
    <w:rsid w:val="00DD0B81"/>
    <w:rPr>
      <w:i/>
      <w:iCs/>
    </w:rPr>
  </w:style>
  <w:style w:type="paragraph" w:styleId="Funotentext">
    <w:name w:val="footnote text"/>
    <w:basedOn w:val="Standard"/>
    <w:link w:val="FunotentextZchn"/>
    <w:rsid w:val="00951774"/>
    <w:rPr>
      <w:sz w:val="20"/>
    </w:rPr>
  </w:style>
  <w:style w:type="character" w:customStyle="1" w:styleId="FunotentextZchn">
    <w:name w:val="Fußnotentext Zchn"/>
    <w:basedOn w:val="Absatz-Standardschriftart"/>
    <w:link w:val="Funotentext"/>
    <w:rsid w:val="00951774"/>
  </w:style>
  <w:style w:type="character" w:styleId="Funotenzeichen">
    <w:name w:val="footnote reference"/>
    <w:basedOn w:val="Absatz-Standardschriftart"/>
    <w:rsid w:val="009517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628">
      <w:bodyDiv w:val="1"/>
      <w:marLeft w:val="0"/>
      <w:marRight w:val="0"/>
      <w:marTop w:val="0"/>
      <w:marBottom w:val="0"/>
      <w:divBdr>
        <w:top w:val="none" w:sz="0" w:space="0" w:color="auto"/>
        <w:left w:val="none" w:sz="0" w:space="0" w:color="auto"/>
        <w:bottom w:val="none" w:sz="0" w:space="0" w:color="auto"/>
        <w:right w:val="none" w:sz="0" w:space="0" w:color="auto"/>
      </w:divBdr>
    </w:div>
    <w:div w:id="117187595">
      <w:bodyDiv w:val="1"/>
      <w:marLeft w:val="0"/>
      <w:marRight w:val="0"/>
      <w:marTop w:val="0"/>
      <w:marBottom w:val="0"/>
      <w:divBdr>
        <w:top w:val="none" w:sz="0" w:space="0" w:color="auto"/>
        <w:left w:val="none" w:sz="0" w:space="0" w:color="auto"/>
        <w:bottom w:val="none" w:sz="0" w:space="0" w:color="auto"/>
        <w:right w:val="none" w:sz="0" w:space="0" w:color="auto"/>
      </w:divBdr>
    </w:div>
    <w:div w:id="229583267">
      <w:bodyDiv w:val="1"/>
      <w:marLeft w:val="0"/>
      <w:marRight w:val="0"/>
      <w:marTop w:val="0"/>
      <w:marBottom w:val="0"/>
      <w:divBdr>
        <w:top w:val="none" w:sz="0" w:space="0" w:color="auto"/>
        <w:left w:val="none" w:sz="0" w:space="0" w:color="auto"/>
        <w:bottom w:val="none" w:sz="0" w:space="0" w:color="auto"/>
        <w:right w:val="none" w:sz="0" w:space="0" w:color="auto"/>
      </w:divBdr>
    </w:div>
    <w:div w:id="245381263">
      <w:bodyDiv w:val="1"/>
      <w:marLeft w:val="0"/>
      <w:marRight w:val="0"/>
      <w:marTop w:val="0"/>
      <w:marBottom w:val="0"/>
      <w:divBdr>
        <w:top w:val="none" w:sz="0" w:space="0" w:color="auto"/>
        <w:left w:val="none" w:sz="0" w:space="0" w:color="auto"/>
        <w:bottom w:val="none" w:sz="0" w:space="0" w:color="auto"/>
        <w:right w:val="none" w:sz="0" w:space="0" w:color="auto"/>
      </w:divBdr>
    </w:div>
    <w:div w:id="375128830">
      <w:bodyDiv w:val="1"/>
      <w:marLeft w:val="0"/>
      <w:marRight w:val="0"/>
      <w:marTop w:val="0"/>
      <w:marBottom w:val="0"/>
      <w:divBdr>
        <w:top w:val="none" w:sz="0" w:space="0" w:color="auto"/>
        <w:left w:val="none" w:sz="0" w:space="0" w:color="auto"/>
        <w:bottom w:val="none" w:sz="0" w:space="0" w:color="auto"/>
        <w:right w:val="none" w:sz="0" w:space="0" w:color="auto"/>
      </w:divBdr>
    </w:div>
    <w:div w:id="482238118">
      <w:bodyDiv w:val="1"/>
      <w:marLeft w:val="0"/>
      <w:marRight w:val="0"/>
      <w:marTop w:val="0"/>
      <w:marBottom w:val="0"/>
      <w:divBdr>
        <w:top w:val="none" w:sz="0" w:space="0" w:color="auto"/>
        <w:left w:val="none" w:sz="0" w:space="0" w:color="auto"/>
        <w:bottom w:val="none" w:sz="0" w:space="0" w:color="auto"/>
        <w:right w:val="none" w:sz="0" w:space="0" w:color="auto"/>
      </w:divBdr>
    </w:div>
    <w:div w:id="485050202">
      <w:bodyDiv w:val="1"/>
      <w:marLeft w:val="0"/>
      <w:marRight w:val="0"/>
      <w:marTop w:val="0"/>
      <w:marBottom w:val="0"/>
      <w:divBdr>
        <w:top w:val="none" w:sz="0" w:space="0" w:color="auto"/>
        <w:left w:val="none" w:sz="0" w:space="0" w:color="auto"/>
        <w:bottom w:val="none" w:sz="0" w:space="0" w:color="auto"/>
        <w:right w:val="none" w:sz="0" w:space="0" w:color="auto"/>
      </w:divBdr>
      <w:divsChild>
        <w:div w:id="2054227175">
          <w:marLeft w:val="0"/>
          <w:marRight w:val="0"/>
          <w:marTop w:val="0"/>
          <w:marBottom w:val="0"/>
          <w:divBdr>
            <w:top w:val="none" w:sz="0" w:space="0" w:color="auto"/>
            <w:left w:val="none" w:sz="0" w:space="0" w:color="auto"/>
            <w:bottom w:val="none" w:sz="0" w:space="0" w:color="auto"/>
            <w:right w:val="none" w:sz="0" w:space="0" w:color="auto"/>
          </w:divBdr>
          <w:divsChild>
            <w:div w:id="49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8385">
      <w:bodyDiv w:val="1"/>
      <w:marLeft w:val="0"/>
      <w:marRight w:val="0"/>
      <w:marTop w:val="0"/>
      <w:marBottom w:val="0"/>
      <w:divBdr>
        <w:top w:val="none" w:sz="0" w:space="0" w:color="auto"/>
        <w:left w:val="none" w:sz="0" w:space="0" w:color="auto"/>
        <w:bottom w:val="none" w:sz="0" w:space="0" w:color="auto"/>
        <w:right w:val="none" w:sz="0" w:space="0" w:color="auto"/>
      </w:divBdr>
    </w:div>
    <w:div w:id="525750630">
      <w:bodyDiv w:val="1"/>
      <w:marLeft w:val="0"/>
      <w:marRight w:val="0"/>
      <w:marTop w:val="0"/>
      <w:marBottom w:val="0"/>
      <w:divBdr>
        <w:top w:val="none" w:sz="0" w:space="0" w:color="auto"/>
        <w:left w:val="none" w:sz="0" w:space="0" w:color="auto"/>
        <w:bottom w:val="none" w:sz="0" w:space="0" w:color="auto"/>
        <w:right w:val="none" w:sz="0" w:space="0" w:color="auto"/>
      </w:divBdr>
    </w:div>
    <w:div w:id="617105916">
      <w:bodyDiv w:val="1"/>
      <w:marLeft w:val="0"/>
      <w:marRight w:val="0"/>
      <w:marTop w:val="0"/>
      <w:marBottom w:val="0"/>
      <w:divBdr>
        <w:top w:val="none" w:sz="0" w:space="0" w:color="auto"/>
        <w:left w:val="none" w:sz="0" w:space="0" w:color="auto"/>
        <w:bottom w:val="none" w:sz="0" w:space="0" w:color="auto"/>
        <w:right w:val="none" w:sz="0" w:space="0" w:color="auto"/>
      </w:divBdr>
    </w:div>
    <w:div w:id="696468546">
      <w:bodyDiv w:val="1"/>
      <w:marLeft w:val="0"/>
      <w:marRight w:val="0"/>
      <w:marTop w:val="0"/>
      <w:marBottom w:val="0"/>
      <w:divBdr>
        <w:top w:val="none" w:sz="0" w:space="0" w:color="auto"/>
        <w:left w:val="none" w:sz="0" w:space="0" w:color="auto"/>
        <w:bottom w:val="none" w:sz="0" w:space="0" w:color="auto"/>
        <w:right w:val="none" w:sz="0" w:space="0" w:color="auto"/>
      </w:divBdr>
    </w:div>
    <w:div w:id="873689722">
      <w:bodyDiv w:val="1"/>
      <w:marLeft w:val="0"/>
      <w:marRight w:val="0"/>
      <w:marTop w:val="0"/>
      <w:marBottom w:val="0"/>
      <w:divBdr>
        <w:top w:val="none" w:sz="0" w:space="0" w:color="auto"/>
        <w:left w:val="none" w:sz="0" w:space="0" w:color="auto"/>
        <w:bottom w:val="none" w:sz="0" w:space="0" w:color="auto"/>
        <w:right w:val="none" w:sz="0" w:space="0" w:color="auto"/>
      </w:divBdr>
      <w:divsChild>
        <w:div w:id="663775074">
          <w:marLeft w:val="0"/>
          <w:marRight w:val="0"/>
          <w:marTop w:val="0"/>
          <w:marBottom w:val="0"/>
          <w:divBdr>
            <w:top w:val="none" w:sz="0" w:space="0" w:color="auto"/>
            <w:left w:val="none" w:sz="0" w:space="0" w:color="auto"/>
            <w:bottom w:val="none" w:sz="0" w:space="0" w:color="auto"/>
            <w:right w:val="none" w:sz="0" w:space="0" w:color="auto"/>
          </w:divBdr>
          <w:divsChild>
            <w:div w:id="692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9283">
      <w:bodyDiv w:val="1"/>
      <w:marLeft w:val="0"/>
      <w:marRight w:val="0"/>
      <w:marTop w:val="0"/>
      <w:marBottom w:val="0"/>
      <w:divBdr>
        <w:top w:val="none" w:sz="0" w:space="0" w:color="auto"/>
        <w:left w:val="none" w:sz="0" w:space="0" w:color="auto"/>
        <w:bottom w:val="none" w:sz="0" w:space="0" w:color="auto"/>
        <w:right w:val="none" w:sz="0" w:space="0" w:color="auto"/>
      </w:divBdr>
    </w:div>
    <w:div w:id="1224214664">
      <w:bodyDiv w:val="1"/>
      <w:marLeft w:val="0"/>
      <w:marRight w:val="0"/>
      <w:marTop w:val="0"/>
      <w:marBottom w:val="0"/>
      <w:divBdr>
        <w:top w:val="none" w:sz="0" w:space="0" w:color="auto"/>
        <w:left w:val="none" w:sz="0" w:space="0" w:color="auto"/>
        <w:bottom w:val="none" w:sz="0" w:space="0" w:color="auto"/>
        <w:right w:val="none" w:sz="0" w:space="0" w:color="auto"/>
      </w:divBdr>
    </w:div>
    <w:div w:id="1254631496">
      <w:bodyDiv w:val="1"/>
      <w:marLeft w:val="0"/>
      <w:marRight w:val="0"/>
      <w:marTop w:val="0"/>
      <w:marBottom w:val="0"/>
      <w:divBdr>
        <w:top w:val="none" w:sz="0" w:space="0" w:color="auto"/>
        <w:left w:val="none" w:sz="0" w:space="0" w:color="auto"/>
        <w:bottom w:val="none" w:sz="0" w:space="0" w:color="auto"/>
        <w:right w:val="none" w:sz="0" w:space="0" w:color="auto"/>
      </w:divBdr>
    </w:div>
    <w:div w:id="1268538439">
      <w:bodyDiv w:val="1"/>
      <w:marLeft w:val="0"/>
      <w:marRight w:val="0"/>
      <w:marTop w:val="0"/>
      <w:marBottom w:val="0"/>
      <w:divBdr>
        <w:top w:val="none" w:sz="0" w:space="0" w:color="auto"/>
        <w:left w:val="none" w:sz="0" w:space="0" w:color="auto"/>
        <w:bottom w:val="none" w:sz="0" w:space="0" w:color="auto"/>
        <w:right w:val="none" w:sz="0" w:space="0" w:color="auto"/>
      </w:divBdr>
    </w:div>
    <w:div w:id="1403723461">
      <w:bodyDiv w:val="1"/>
      <w:marLeft w:val="0"/>
      <w:marRight w:val="0"/>
      <w:marTop w:val="0"/>
      <w:marBottom w:val="0"/>
      <w:divBdr>
        <w:top w:val="none" w:sz="0" w:space="0" w:color="auto"/>
        <w:left w:val="none" w:sz="0" w:space="0" w:color="auto"/>
        <w:bottom w:val="none" w:sz="0" w:space="0" w:color="auto"/>
        <w:right w:val="none" w:sz="0" w:space="0" w:color="auto"/>
      </w:divBdr>
    </w:div>
    <w:div w:id="1575317002">
      <w:bodyDiv w:val="1"/>
      <w:marLeft w:val="0"/>
      <w:marRight w:val="0"/>
      <w:marTop w:val="0"/>
      <w:marBottom w:val="0"/>
      <w:divBdr>
        <w:top w:val="none" w:sz="0" w:space="0" w:color="auto"/>
        <w:left w:val="none" w:sz="0" w:space="0" w:color="auto"/>
        <w:bottom w:val="none" w:sz="0" w:space="0" w:color="auto"/>
        <w:right w:val="none" w:sz="0" w:space="0" w:color="auto"/>
      </w:divBdr>
    </w:div>
    <w:div w:id="1618292595">
      <w:bodyDiv w:val="1"/>
      <w:marLeft w:val="0"/>
      <w:marRight w:val="0"/>
      <w:marTop w:val="0"/>
      <w:marBottom w:val="0"/>
      <w:divBdr>
        <w:top w:val="none" w:sz="0" w:space="0" w:color="auto"/>
        <w:left w:val="none" w:sz="0" w:space="0" w:color="auto"/>
        <w:bottom w:val="none" w:sz="0" w:space="0" w:color="auto"/>
        <w:right w:val="none" w:sz="0" w:space="0" w:color="auto"/>
      </w:divBdr>
    </w:div>
    <w:div w:id="1621299225">
      <w:bodyDiv w:val="1"/>
      <w:marLeft w:val="0"/>
      <w:marRight w:val="0"/>
      <w:marTop w:val="0"/>
      <w:marBottom w:val="0"/>
      <w:divBdr>
        <w:top w:val="none" w:sz="0" w:space="0" w:color="auto"/>
        <w:left w:val="none" w:sz="0" w:space="0" w:color="auto"/>
        <w:bottom w:val="none" w:sz="0" w:space="0" w:color="auto"/>
        <w:right w:val="none" w:sz="0" w:space="0" w:color="auto"/>
      </w:divBdr>
    </w:div>
    <w:div w:id="1719278668">
      <w:bodyDiv w:val="1"/>
      <w:marLeft w:val="0"/>
      <w:marRight w:val="0"/>
      <w:marTop w:val="0"/>
      <w:marBottom w:val="0"/>
      <w:divBdr>
        <w:top w:val="none" w:sz="0" w:space="0" w:color="auto"/>
        <w:left w:val="none" w:sz="0" w:space="0" w:color="auto"/>
        <w:bottom w:val="none" w:sz="0" w:space="0" w:color="auto"/>
        <w:right w:val="none" w:sz="0" w:space="0" w:color="auto"/>
      </w:divBdr>
      <w:divsChild>
        <w:div w:id="1506089200">
          <w:marLeft w:val="0"/>
          <w:marRight w:val="0"/>
          <w:marTop w:val="0"/>
          <w:marBottom w:val="0"/>
          <w:divBdr>
            <w:top w:val="none" w:sz="0" w:space="0" w:color="auto"/>
            <w:left w:val="none" w:sz="0" w:space="0" w:color="auto"/>
            <w:bottom w:val="none" w:sz="0" w:space="0" w:color="auto"/>
            <w:right w:val="none" w:sz="0" w:space="0" w:color="auto"/>
          </w:divBdr>
        </w:div>
      </w:divsChild>
    </w:div>
    <w:div w:id="1901404644">
      <w:bodyDiv w:val="1"/>
      <w:marLeft w:val="0"/>
      <w:marRight w:val="0"/>
      <w:marTop w:val="0"/>
      <w:marBottom w:val="0"/>
      <w:divBdr>
        <w:top w:val="none" w:sz="0" w:space="0" w:color="auto"/>
        <w:left w:val="none" w:sz="0" w:space="0" w:color="auto"/>
        <w:bottom w:val="none" w:sz="0" w:space="0" w:color="auto"/>
        <w:right w:val="none" w:sz="0" w:space="0" w:color="auto"/>
      </w:divBdr>
    </w:div>
    <w:div w:id="1971669251">
      <w:bodyDiv w:val="1"/>
      <w:marLeft w:val="0"/>
      <w:marRight w:val="0"/>
      <w:marTop w:val="0"/>
      <w:marBottom w:val="0"/>
      <w:divBdr>
        <w:top w:val="none" w:sz="0" w:space="0" w:color="auto"/>
        <w:left w:val="none" w:sz="0" w:space="0" w:color="auto"/>
        <w:bottom w:val="none" w:sz="0" w:space="0" w:color="auto"/>
        <w:right w:val="none" w:sz="0" w:space="0" w:color="auto"/>
      </w:divBdr>
    </w:div>
    <w:div w:id="2102993671">
      <w:bodyDiv w:val="1"/>
      <w:marLeft w:val="0"/>
      <w:marRight w:val="0"/>
      <w:marTop w:val="0"/>
      <w:marBottom w:val="0"/>
      <w:divBdr>
        <w:top w:val="none" w:sz="0" w:space="0" w:color="auto"/>
        <w:left w:val="none" w:sz="0" w:space="0" w:color="auto"/>
        <w:bottom w:val="none" w:sz="0" w:space="0" w:color="auto"/>
        <w:right w:val="none" w:sz="0" w:space="0" w:color="auto"/>
      </w:divBdr>
    </w:div>
    <w:div w:id="214349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ata.europa.eu/eli/reg/2024/1689/oj"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data.europa.eu/eli/C/.../.../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571A1-A565-4785-988B-3EF935D7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16701</Words>
  <Characters>105223</Characters>
  <Application>Microsoft Office Word</Application>
  <DocSecurity>0</DocSecurity>
  <Lines>876</Lines>
  <Paragraphs>243</Paragraphs>
  <ScaleCrop>false</ScaleCrop>
  <Company/>
  <LinksUpToDate>false</LinksUpToDate>
  <CharactersWithSpaces>121681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2025-06-12T10:24:00Z</dcterms:created>
  <dcterms:modified xsi:type="dcterms:W3CDTF">2025-06-12T10:26:00Z</dcterms:modified>
</cp:coreProperties>
</file>